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jc w:val="center"/>
        <w:rPr>
          <w:b/>
          <w:bCs/>
          <w:sz w:val="44"/>
          <w:szCs w:val="44"/>
        </w:rPr>
      </w:pPr>
    </w:p>
    <w:p>
      <w:pPr>
        <w:pStyle w:val="2"/>
      </w:pPr>
    </w:p>
    <w:p>
      <w:pPr>
        <w:snapToGrid w:val="0"/>
        <w:spacing w:line="276" w:lineRule="auto"/>
        <w:jc w:val="center"/>
        <w:rPr>
          <w:rFonts w:ascii="宋体" w:hAnsi="宋体" w:cs="宋体"/>
          <w:b/>
          <w:color w:val="000000"/>
          <w:sz w:val="48"/>
          <w:szCs w:val="48"/>
        </w:rPr>
      </w:pPr>
      <w:r>
        <w:rPr>
          <w:rFonts w:hint="eastAsia" w:ascii="宋体" w:hAnsi="宋体" w:cs="宋体"/>
          <w:b/>
          <w:color w:val="000000"/>
          <w:sz w:val="48"/>
          <w:szCs w:val="48"/>
        </w:rPr>
        <w:t>南通市妇幼保健院出生医学证明</w:t>
      </w:r>
    </w:p>
    <w:p>
      <w:pPr>
        <w:snapToGrid w:val="0"/>
        <w:spacing w:line="276" w:lineRule="auto"/>
        <w:jc w:val="center"/>
        <w:rPr>
          <w:rFonts w:ascii="宋体" w:hAnsi="宋体" w:cs="宋体"/>
          <w:color w:val="000000"/>
          <w:sz w:val="48"/>
          <w:szCs w:val="48"/>
        </w:rPr>
      </w:pPr>
      <w:r>
        <w:rPr>
          <w:rFonts w:hint="eastAsia" w:ascii="宋体" w:hAnsi="宋体" w:cs="宋体"/>
          <w:b/>
          <w:color w:val="000000"/>
          <w:sz w:val="48"/>
          <w:szCs w:val="48"/>
        </w:rPr>
        <w:t>进馆档案整理服务项目</w:t>
      </w:r>
    </w:p>
    <w:p>
      <w:pPr>
        <w:tabs>
          <w:tab w:val="left" w:pos="6300"/>
        </w:tabs>
        <w:snapToGrid w:val="0"/>
        <w:spacing w:line="300" w:lineRule="auto"/>
        <w:jc w:val="center"/>
        <w:rPr>
          <w:rFonts w:ascii="宋体"/>
          <w:b/>
          <w:bCs/>
          <w:w w:val="80"/>
          <w:sz w:val="96"/>
          <w:szCs w:val="96"/>
        </w:rPr>
      </w:pPr>
    </w:p>
    <w:p>
      <w:pPr>
        <w:tabs>
          <w:tab w:val="left" w:pos="6300"/>
        </w:tabs>
        <w:snapToGrid w:val="0"/>
        <w:spacing w:line="300" w:lineRule="auto"/>
        <w:jc w:val="center"/>
        <w:rPr>
          <w:rFonts w:ascii="宋体"/>
          <w:b/>
          <w:bCs/>
          <w:w w:val="80"/>
          <w:sz w:val="48"/>
          <w:szCs w:val="48"/>
        </w:rPr>
      </w:pPr>
    </w:p>
    <w:p>
      <w:pPr>
        <w:tabs>
          <w:tab w:val="left" w:pos="6300"/>
        </w:tabs>
        <w:snapToGrid w:val="0"/>
        <w:spacing w:line="300" w:lineRule="auto"/>
        <w:jc w:val="center"/>
        <w:rPr>
          <w:rFonts w:ascii="宋体" w:hAnsi="宋体" w:cs="宋体"/>
          <w:b/>
          <w:bCs/>
          <w:w w:val="80"/>
          <w:sz w:val="72"/>
          <w:szCs w:val="72"/>
        </w:rPr>
      </w:pPr>
      <w:r>
        <w:rPr>
          <w:rFonts w:hint="eastAsia" w:ascii="宋体" w:hAnsi="宋体" w:cs="宋体"/>
          <w:b/>
          <w:bCs/>
          <w:w w:val="80"/>
          <w:sz w:val="72"/>
          <w:szCs w:val="72"/>
        </w:rPr>
        <w:t>政府采购</w:t>
      </w:r>
    </w:p>
    <w:p>
      <w:pPr>
        <w:tabs>
          <w:tab w:val="left" w:pos="6300"/>
        </w:tabs>
        <w:snapToGrid w:val="0"/>
        <w:spacing w:line="300" w:lineRule="auto"/>
        <w:jc w:val="center"/>
        <w:rPr>
          <w:rFonts w:ascii="宋体"/>
          <w:bCs/>
          <w:w w:val="80"/>
          <w:sz w:val="72"/>
          <w:szCs w:val="72"/>
        </w:rPr>
      </w:pPr>
      <w:r>
        <w:rPr>
          <w:rFonts w:hint="eastAsia" w:ascii="宋体" w:hAnsi="宋体" w:cs="宋体"/>
          <w:b/>
          <w:bCs/>
          <w:w w:val="80"/>
          <w:sz w:val="72"/>
          <w:szCs w:val="72"/>
        </w:rPr>
        <w:t>竞争性磋商文件</w:t>
      </w:r>
    </w:p>
    <w:p>
      <w:pPr>
        <w:snapToGrid w:val="0"/>
        <w:spacing w:line="360" w:lineRule="auto"/>
        <w:jc w:val="center"/>
        <w:rPr>
          <w:rFonts w:ascii="宋体" w:hAnsi="宋体" w:cs="宋体"/>
          <w:b/>
          <w:bCs/>
          <w:sz w:val="36"/>
          <w:szCs w:val="30"/>
        </w:rPr>
      </w:pPr>
      <w:r>
        <w:rPr>
          <w:rFonts w:hint="eastAsia" w:ascii="宋体" w:hAnsi="宋体" w:cs="宋体"/>
          <w:b/>
          <w:bCs/>
          <w:sz w:val="36"/>
          <w:szCs w:val="30"/>
        </w:rPr>
        <w:t>项目编号：</w:t>
      </w:r>
      <w:r>
        <w:rPr>
          <w:rFonts w:ascii="宋体" w:hAnsi="宋体" w:cs="宋体"/>
          <w:b/>
          <w:bCs/>
          <w:sz w:val="36"/>
          <w:szCs w:val="30"/>
        </w:rPr>
        <w:t>WLDL202203020</w:t>
      </w:r>
    </w:p>
    <w:p>
      <w:pPr>
        <w:spacing w:line="360" w:lineRule="auto"/>
        <w:jc w:val="center"/>
        <w:rPr>
          <w:rFonts w:ascii="宋体"/>
          <w:b/>
          <w:bCs/>
          <w:sz w:val="44"/>
          <w:szCs w:val="44"/>
        </w:rPr>
      </w:pPr>
    </w:p>
    <w:p>
      <w:pPr>
        <w:snapToGrid w:val="0"/>
        <w:spacing w:line="360" w:lineRule="auto"/>
        <w:rPr>
          <w:rFonts w:ascii="宋体"/>
          <w:b/>
          <w:bCs/>
          <w:color w:val="000000"/>
          <w:sz w:val="36"/>
          <w:szCs w:val="36"/>
        </w:rPr>
      </w:pPr>
    </w:p>
    <w:p>
      <w:pPr>
        <w:pStyle w:val="2"/>
      </w:pPr>
    </w:p>
    <w:p>
      <w:pPr>
        <w:pStyle w:val="2"/>
      </w:pPr>
    </w:p>
    <w:p>
      <w:pPr>
        <w:snapToGrid w:val="0"/>
        <w:spacing w:line="360" w:lineRule="auto"/>
        <w:rPr>
          <w:rFonts w:ascii="宋体"/>
          <w:b/>
          <w:bCs/>
          <w:color w:val="000000"/>
          <w:sz w:val="36"/>
          <w:szCs w:val="36"/>
        </w:rPr>
      </w:pPr>
    </w:p>
    <w:p>
      <w:pPr>
        <w:pStyle w:val="2"/>
      </w:pPr>
    </w:p>
    <w:p>
      <w:pPr>
        <w:adjustRightInd w:val="0"/>
        <w:snapToGrid w:val="0"/>
        <w:spacing w:line="360" w:lineRule="auto"/>
        <w:ind w:firstLine="2108" w:firstLineChars="700"/>
        <w:rPr>
          <w:b/>
          <w:bCs/>
          <w:color w:val="262626"/>
          <w:sz w:val="30"/>
          <w:szCs w:val="30"/>
        </w:rPr>
      </w:pPr>
      <w:bookmarkStart w:id="0" w:name="_Toc94544743"/>
      <w:bookmarkStart w:id="1" w:name="_Toc94585339"/>
      <w:bookmarkStart w:id="2" w:name="_Toc11500279"/>
      <w:bookmarkStart w:id="3" w:name="_Toc521203417"/>
      <w:bookmarkStart w:id="4" w:name="_Toc11554638"/>
      <w:bookmarkStart w:id="5" w:name="_Toc521201596"/>
      <w:bookmarkStart w:id="6" w:name="_Toc12670502"/>
      <w:bookmarkStart w:id="7" w:name="_Toc8895738"/>
      <w:bookmarkStart w:id="8" w:name="_Toc11499583"/>
      <w:bookmarkStart w:id="9" w:name="_Toc94544827"/>
      <w:r>
        <w:rPr>
          <w:rFonts w:hint="eastAsia" w:ascii="宋体" w:hAnsi="宋体" w:cs="宋体"/>
          <w:b/>
          <w:bCs/>
          <w:sz w:val="30"/>
          <w:szCs w:val="30"/>
        </w:rPr>
        <w:t>采购单位：南通市妇幼保健院</w:t>
      </w:r>
    </w:p>
    <w:p>
      <w:pPr>
        <w:tabs>
          <w:tab w:val="left" w:pos="7230"/>
        </w:tabs>
        <w:adjustRightInd w:val="0"/>
        <w:snapToGrid w:val="0"/>
        <w:spacing w:line="360" w:lineRule="auto"/>
        <w:jc w:val="center"/>
        <w:rPr>
          <w:b/>
          <w:bCs/>
          <w:sz w:val="30"/>
          <w:szCs w:val="30"/>
        </w:rPr>
      </w:pPr>
      <w:r>
        <w:rPr>
          <w:rFonts w:hint="eastAsia" w:ascii="宋体" w:hAnsi="宋体" w:cs="宋体"/>
          <w:b/>
          <w:bCs/>
          <w:sz w:val="30"/>
          <w:szCs w:val="30"/>
        </w:rPr>
        <w:t xml:space="preserve"> 代理机构：</w:t>
      </w:r>
      <w:r>
        <w:rPr>
          <w:rFonts w:hint="eastAsia" w:cs="宋体"/>
          <w:b/>
          <w:bCs/>
          <w:sz w:val="30"/>
          <w:szCs w:val="30"/>
        </w:rPr>
        <w:t>南通万隆工程管理有限公司</w:t>
      </w:r>
    </w:p>
    <w:p>
      <w:pPr>
        <w:adjustRightInd w:val="0"/>
        <w:snapToGrid w:val="0"/>
        <w:spacing w:line="360" w:lineRule="auto"/>
        <w:jc w:val="center"/>
        <w:rPr>
          <w:rFonts w:ascii="宋体" w:hAnsi="宋体" w:cs="宋体"/>
          <w:b/>
          <w:bCs/>
          <w:sz w:val="30"/>
          <w:szCs w:val="3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361" w:right="1191" w:bottom="1191" w:left="1361" w:header="851" w:footer="992" w:gutter="0"/>
          <w:pgNumType w:fmt="numberInDash"/>
          <w:cols w:space="720" w:num="1"/>
          <w:titlePg/>
          <w:docGrid w:linePitch="312" w:charSpace="0"/>
        </w:sectPr>
      </w:pPr>
      <w:r>
        <w:rPr>
          <w:rFonts w:hint="eastAsia" w:ascii="宋体" w:hAnsi="宋体" w:cs="宋体"/>
          <w:b/>
          <w:bCs/>
          <w:sz w:val="30"/>
          <w:szCs w:val="30"/>
        </w:rPr>
        <w:t>二〇二二年三月</w:t>
      </w:r>
      <w:r>
        <w:rPr>
          <w:rFonts w:hint="eastAsia" w:ascii="宋体" w:hAnsi="宋体" w:cs="宋体"/>
          <w:b/>
          <w:bCs/>
          <w:sz w:val="30"/>
          <w:szCs w:val="30"/>
          <w:lang w:val="en-US" w:eastAsia="zh-CN"/>
        </w:rPr>
        <w:t>十八</w:t>
      </w:r>
      <w:r>
        <w:rPr>
          <w:rFonts w:hint="eastAsia" w:ascii="宋体" w:hAnsi="宋体" w:cs="宋体"/>
          <w:b/>
          <w:bCs/>
          <w:sz w:val="30"/>
          <w:szCs w:val="30"/>
        </w:rPr>
        <w:t>日</w:t>
      </w:r>
    </w:p>
    <w:p>
      <w:pPr>
        <w:adjustRightInd w:val="0"/>
        <w:snapToGrid w:val="0"/>
        <w:spacing w:line="360" w:lineRule="auto"/>
        <w:jc w:val="center"/>
        <w:rPr>
          <w:rFonts w:ascii="宋体" w:hAnsi="宋体" w:cs="宋体"/>
          <w:b/>
          <w:bCs/>
          <w:sz w:val="44"/>
          <w:szCs w:val="44"/>
        </w:rPr>
      </w:pPr>
    </w:p>
    <w:p>
      <w:pPr>
        <w:adjustRightInd w:val="0"/>
        <w:snapToGrid w:val="0"/>
        <w:spacing w:line="360" w:lineRule="auto"/>
        <w:jc w:val="center"/>
        <w:rPr>
          <w:rFonts w:ascii="宋体"/>
          <w:b/>
          <w:bCs/>
          <w:sz w:val="30"/>
          <w:szCs w:val="30"/>
        </w:rPr>
      </w:pPr>
      <w:r>
        <w:rPr>
          <w:rFonts w:hint="eastAsia" w:ascii="宋体" w:hAnsi="宋体" w:cs="宋体"/>
          <w:b/>
          <w:bCs/>
          <w:sz w:val="44"/>
          <w:szCs w:val="44"/>
        </w:rPr>
        <w:t>竞争性磋商文件备案表</w:t>
      </w:r>
    </w:p>
    <w:p>
      <w:pPr>
        <w:jc w:val="center"/>
        <w:rPr>
          <w:b/>
          <w:bCs/>
          <w:sz w:val="24"/>
          <w:szCs w:val="24"/>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80" w:type="dxa"/>
            <w:vAlign w:val="center"/>
          </w:tcPr>
          <w:p>
            <w:pPr>
              <w:spacing w:line="360" w:lineRule="auto"/>
              <w:jc w:val="center"/>
              <w:rPr>
                <w:rFonts w:cs="宋体" w:asciiTheme="minorEastAsia" w:hAnsiTheme="minorEastAsia" w:eastAsiaTheme="minorEastAsia"/>
                <w:position w:val="-48"/>
                <w:sz w:val="24"/>
                <w:szCs w:val="24"/>
              </w:rPr>
            </w:pPr>
          </w:p>
          <w:p>
            <w:pPr>
              <w:spacing w:line="360" w:lineRule="auto"/>
              <w:jc w:val="center"/>
              <w:rPr>
                <w:rFonts w:hint="eastAsia" w:cs="宋体" w:asciiTheme="minorEastAsia" w:hAnsiTheme="minorEastAsia" w:eastAsiaTheme="minorEastAsia"/>
                <w:position w:val="-48"/>
                <w:sz w:val="24"/>
                <w:szCs w:val="24"/>
                <w:lang w:val="en-US" w:eastAsia="zh-CN"/>
              </w:rPr>
            </w:pPr>
            <w:r>
              <w:rPr>
                <w:rFonts w:hint="eastAsia" w:cs="宋体" w:asciiTheme="minorEastAsia" w:hAnsiTheme="minorEastAsia" w:eastAsiaTheme="minorEastAsia"/>
                <w:position w:val="-48"/>
                <w:sz w:val="24"/>
                <w:szCs w:val="24"/>
              </w:rPr>
              <w:t xml:space="preserve"> 编制人：</w:t>
            </w:r>
            <w:r>
              <w:rPr>
                <w:rFonts w:hint="eastAsia" w:cs="宋体" w:asciiTheme="minorEastAsia" w:hAnsiTheme="minorEastAsia" w:eastAsiaTheme="minorEastAsia"/>
                <w:position w:val="-48"/>
                <w:sz w:val="24"/>
                <w:szCs w:val="24"/>
                <w:lang w:val="en-US" w:eastAsia="zh-CN"/>
              </w:rPr>
              <w:t>杜赟</w:t>
            </w:r>
          </w:p>
          <w:p>
            <w:pPr>
              <w:spacing w:line="360" w:lineRule="auto"/>
              <w:jc w:val="center"/>
              <w:rPr>
                <w:rFonts w:cs="宋体" w:asciiTheme="minorEastAsia" w:hAnsiTheme="minorEastAsia" w:eastAsiaTheme="minorEastAsia"/>
                <w:position w:val="-48"/>
                <w:sz w:val="24"/>
                <w:szCs w:val="24"/>
              </w:rPr>
            </w:pPr>
            <w:r>
              <w:rPr>
                <w:rFonts w:hint="eastAsia" w:cs="宋体" w:asciiTheme="minorEastAsia" w:hAnsiTheme="minorEastAsia" w:eastAsiaTheme="minorEastAsia"/>
                <w:position w:val="-48"/>
                <w:sz w:val="24"/>
                <w:szCs w:val="24"/>
              </w:rPr>
              <w:t xml:space="preserve">        日  期：</w:t>
            </w:r>
            <w:r>
              <w:rPr>
                <w:rFonts w:cs="宋体" w:asciiTheme="minorEastAsia" w:hAnsiTheme="minorEastAsia" w:eastAsiaTheme="minorEastAsia"/>
                <w:position w:val="-48"/>
                <w:sz w:val="24"/>
                <w:szCs w:val="24"/>
              </w:rPr>
              <w:t>202</w:t>
            </w:r>
            <w:r>
              <w:rPr>
                <w:rFonts w:hint="eastAsia" w:cs="宋体" w:asciiTheme="minorEastAsia" w:hAnsiTheme="minorEastAsia" w:eastAsiaTheme="minorEastAsia"/>
                <w:position w:val="-48"/>
                <w:sz w:val="24"/>
                <w:szCs w:val="24"/>
              </w:rPr>
              <w:t>2年3月</w:t>
            </w:r>
            <w:r>
              <w:rPr>
                <w:rFonts w:hint="eastAsia" w:cs="宋体" w:asciiTheme="minorEastAsia" w:hAnsiTheme="minorEastAsia" w:eastAsiaTheme="minorEastAsia"/>
                <w:position w:val="-48"/>
                <w:sz w:val="24"/>
                <w:szCs w:val="24"/>
                <w:lang w:val="en-US" w:eastAsia="zh-CN"/>
              </w:rPr>
              <w:t>18</w:t>
            </w:r>
            <w:r>
              <w:rPr>
                <w:rFonts w:hint="eastAsia" w:cs="宋体" w:asciiTheme="minorEastAsia" w:hAnsiTheme="minorEastAsia" w:eastAsiaTheme="minorEastAsia"/>
                <w:position w:val="-48"/>
                <w:sz w:val="24"/>
                <w:szCs w:val="24"/>
              </w:rPr>
              <w:t>日</w:t>
            </w:r>
          </w:p>
          <w:p>
            <w:pPr>
              <w:pStyle w:val="2"/>
              <w:ind w:firstLine="480"/>
              <w:rPr>
                <w:rFonts w:cs="宋体" w:asciiTheme="minorEastAsia" w:hAnsiTheme="minorEastAsia" w:eastAsiaTheme="minorEastAsia"/>
                <w:position w:val="-4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8" w:hRule="atLeast"/>
          <w:jc w:val="center"/>
        </w:trPr>
        <w:tc>
          <w:tcPr>
            <w:tcW w:w="9180" w:type="dxa"/>
          </w:tcPr>
          <w:p>
            <w:pPr>
              <w:spacing w:line="360" w:lineRule="auto"/>
              <w:jc w:val="left"/>
              <w:rPr>
                <w:rFonts w:asciiTheme="minorEastAsia" w:hAnsiTheme="minorEastAsia" w:eastAsiaTheme="minorEastAsia"/>
                <w:position w:val="-48"/>
                <w:sz w:val="24"/>
                <w:szCs w:val="24"/>
              </w:rPr>
            </w:pPr>
          </w:p>
          <w:p>
            <w:pPr>
              <w:pStyle w:val="2"/>
              <w:rPr>
                <w:rFonts w:asciiTheme="minorEastAsia" w:hAnsiTheme="minorEastAsia" w:eastAsiaTheme="minorEastAsia"/>
              </w:rPr>
            </w:pPr>
          </w:p>
          <w:p>
            <w:pPr>
              <w:pStyle w:val="2"/>
              <w:rPr>
                <w:rFonts w:asciiTheme="minorEastAsia" w:hAnsiTheme="minorEastAsia" w:eastAsiaTheme="minorEastAsia"/>
              </w:rPr>
            </w:pPr>
          </w:p>
          <w:p>
            <w:pPr>
              <w:spacing w:line="360" w:lineRule="auto"/>
              <w:ind w:firstLine="840" w:firstLineChars="350"/>
              <w:jc w:val="left"/>
              <w:rPr>
                <w:rFonts w:asciiTheme="minorEastAsia" w:hAnsiTheme="minorEastAsia" w:eastAsiaTheme="minorEastAsia"/>
                <w:position w:val="-48"/>
                <w:sz w:val="24"/>
                <w:szCs w:val="24"/>
              </w:rPr>
            </w:pPr>
            <w:r>
              <w:rPr>
                <w:rFonts w:hint="eastAsia" w:cs="宋体" w:asciiTheme="minorEastAsia" w:hAnsiTheme="minorEastAsia" w:eastAsiaTheme="minorEastAsia"/>
                <w:position w:val="-48"/>
                <w:sz w:val="24"/>
                <w:szCs w:val="24"/>
              </w:rPr>
              <w:t>采购单位：（盖章）              法定代表人（签字或盖章）</w:t>
            </w:r>
          </w:p>
          <w:p>
            <w:pPr>
              <w:spacing w:line="360" w:lineRule="auto"/>
              <w:rPr>
                <w:rFonts w:asciiTheme="minorEastAsia" w:hAnsiTheme="minorEastAsia" w:eastAsiaTheme="minorEastAsia"/>
                <w:position w:val="-48"/>
                <w:sz w:val="24"/>
                <w:szCs w:val="24"/>
              </w:rPr>
            </w:pPr>
          </w:p>
          <w:p>
            <w:pPr>
              <w:pStyle w:val="2"/>
              <w:rPr>
                <w:rFonts w:asciiTheme="minorEastAsia" w:hAnsiTheme="minorEastAsia" w:eastAsiaTheme="minorEastAsia"/>
              </w:rPr>
            </w:pPr>
          </w:p>
          <w:p>
            <w:pPr>
              <w:spacing w:line="360" w:lineRule="auto"/>
              <w:ind w:firstLine="960" w:firstLineChars="400"/>
              <w:jc w:val="left"/>
              <w:rPr>
                <w:rFonts w:asciiTheme="minorEastAsia" w:hAnsiTheme="minorEastAsia" w:eastAsiaTheme="minorEastAsia"/>
                <w:position w:val="-48"/>
                <w:sz w:val="24"/>
                <w:szCs w:val="24"/>
              </w:rPr>
            </w:pPr>
            <w:r>
              <w:rPr>
                <w:rFonts w:hint="eastAsia" w:cs="宋体" w:asciiTheme="minorEastAsia" w:hAnsiTheme="minorEastAsia" w:eastAsiaTheme="minorEastAsia"/>
                <w:position w:val="-48"/>
                <w:sz w:val="24"/>
                <w:szCs w:val="24"/>
              </w:rPr>
              <w:t>代理机构（盖章）               法定代表人（签字或盖章）</w:t>
            </w:r>
          </w:p>
          <w:p>
            <w:pPr>
              <w:spacing w:line="360" w:lineRule="auto"/>
              <w:rPr>
                <w:rFonts w:asciiTheme="minorEastAsia" w:hAnsiTheme="minorEastAsia" w:eastAsiaTheme="minorEastAsia"/>
                <w:position w:val="-48"/>
                <w:sz w:val="24"/>
                <w:szCs w:val="24"/>
              </w:rPr>
            </w:pPr>
          </w:p>
          <w:p>
            <w:pPr>
              <w:pStyle w:val="2"/>
            </w:pPr>
          </w:p>
          <w:p>
            <w:pPr>
              <w:spacing w:line="360" w:lineRule="auto"/>
              <w:jc w:val="center"/>
              <w:rPr>
                <w:rFonts w:asciiTheme="minorEastAsia" w:hAnsiTheme="minorEastAsia" w:eastAsiaTheme="minorEastAsia"/>
                <w:position w:val="-48"/>
                <w:sz w:val="24"/>
                <w:szCs w:val="24"/>
              </w:rPr>
            </w:pPr>
            <w:r>
              <w:rPr>
                <w:rFonts w:hint="eastAsia" w:cs="宋体" w:asciiTheme="minorEastAsia" w:hAnsiTheme="minorEastAsia" w:eastAsiaTheme="minorEastAsia"/>
                <w:position w:val="-48"/>
                <w:sz w:val="24"/>
                <w:szCs w:val="24"/>
              </w:rPr>
              <w:t xml:space="preserve">        日  期：</w:t>
            </w:r>
            <w:r>
              <w:rPr>
                <w:rFonts w:asciiTheme="minorEastAsia" w:hAnsiTheme="minorEastAsia" w:eastAsiaTheme="minorEastAsia"/>
                <w:position w:val="-48"/>
                <w:sz w:val="24"/>
                <w:szCs w:val="24"/>
              </w:rPr>
              <w:t>202</w:t>
            </w:r>
            <w:r>
              <w:rPr>
                <w:rFonts w:hint="eastAsia" w:asciiTheme="minorEastAsia" w:hAnsiTheme="minorEastAsia" w:eastAsiaTheme="minorEastAsia"/>
                <w:position w:val="-48"/>
                <w:sz w:val="24"/>
                <w:szCs w:val="24"/>
              </w:rPr>
              <w:t>2</w:t>
            </w:r>
            <w:r>
              <w:rPr>
                <w:rFonts w:hint="eastAsia" w:cs="宋体" w:asciiTheme="minorEastAsia" w:hAnsiTheme="minorEastAsia" w:eastAsiaTheme="minorEastAsia"/>
                <w:position w:val="-48"/>
                <w:sz w:val="24"/>
                <w:szCs w:val="24"/>
              </w:rPr>
              <w:t>年</w:t>
            </w:r>
            <w:r>
              <w:rPr>
                <w:rFonts w:hint="eastAsia" w:asciiTheme="minorEastAsia" w:hAnsiTheme="minorEastAsia" w:eastAsiaTheme="minorEastAsia"/>
                <w:position w:val="-48"/>
                <w:sz w:val="24"/>
                <w:szCs w:val="24"/>
              </w:rPr>
              <w:t>3</w:t>
            </w:r>
            <w:r>
              <w:rPr>
                <w:rFonts w:hint="eastAsia" w:cs="宋体" w:asciiTheme="minorEastAsia" w:hAnsiTheme="minorEastAsia" w:eastAsiaTheme="minorEastAsia"/>
                <w:position w:val="-48"/>
                <w:sz w:val="24"/>
                <w:szCs w:val="24"/>
              </w:rPr>
              <w:t>月</w:t>
            </w:r>
            <w:r>
              <w:rPr>
                <w:rFonts w:hint="eastAsia" w:cs="宋体" w:asciiTheme="minorEastAsia" w:hAnsiTheme="minorEastAsia" w:eastAsiaTheme="minorEastAsia"/>
                <w:position w:val="-48"/>
                <w:sz w:val="24"/>
                <w:szCs w:val="24"/>
                <w:lang w:val="en-US" w:eastAsia="zh-CN"/>
              </w:rPr>
              <w:t>18</w:t>
            </w:r>
            <w:r>
              <w:rPr>
                <w:rFonts w:hint="eastAsia" w:cs="宋体" w:asciiTheme="minorEastAsia" w:hAnsiTheme="minorEastAsia" w:eastAsiaTheme="minorEastAsia"/>
                <w:position w:val="-48"/>
                <w:sz w:val="24"/>
                <w:szCs w:val="24"/>
              </w:rPr>
              <w:t>日</w:t>
            </w:r>
          </w:p>
          <w:p>
            <w:pPr>
              <w:spacing w:line="360" w:lineRule="auto"/>
              <w:jc w:val="center"/>
              <w:rPr>
                <w:rFonts w:asciiTheme="minorEastAsia" w:hAnsiTheme="minorEastAsia" w:eastAsiaTheme="minorEastAsia"/>
                <w:position w:val="-48"/>
                <w:sz w:val="24"/>
                <w:szCs w:val="24"/>
              </w:rPr>
            </w:pPr>
          </w:p>
        </w:tc>
      </w:tr>
    </w:tbl>
    <w:p>
      <w:pPr>
        <w:pStyle w:val="25"/>
        <w:tabs>
          <w:tab w:val="left" w:pos="1050"/>
          <w:tab w:val="right" w:leader="dot" w:pos="9402"/>
        </w:tabs>
        <w:spacing w:line="960" w:lineRule="exact"/>
        <w:ind w:left="0"/>
        <w:jc w:val="center"/>
        <w:outlineLvl w:val="0"/>
        <w:rPr>
          <w:rFonts w:ascii="宋体" w:hAnsi="宋体" w:cs="宋体"/>
          <w:b/>
          <w:bCs/>
          <w:i w:val="0"/>
          <w:iCs w:val="0"/>
          <w:color w:val="000000"/>
          <w:w w:val="80"/>
          <w:sz w:val="52"/>
          <w:szCs w:val="52"/>
        </w:rPr>
        <w:sectPr>
          <w:pgSz w:w="11906" w:h="16838"/>
          <w:pgMar w:top="1361" w:right="1191" w:bottom="1191" w:left="1361" w:header="851" w:footer="992" w:gutter="0"/>
          <w:pgNumType w:fmt="numberInDash"/>
          <w:cols w:space="720" w:num="1"/>
          <w:titlePg/>
          <w:docGrid w:linePitch="312" w:charSpace="0"/>
        </w:sectPr>
      </w:pPr>
    </w:p>
    <w:p>
      <w:pPr>
        <w:pStyle w:val="25"/>
        <w:tabs>
          <w:tab w:val="left" w:pos="1050"/>
          <w:tab w:val="right" w:leader="dot" w:pos="9402"/>
        </w:tabs>
        <w:spacing w:line="960" w:lineRule="exact"/>
        <w:ind w:left="0"/>
        <w:jc w:val="center"/>
        <w:outlineLvl w:val="0"/>
        <w:rPr>
          <w:rFonts w:ascii="宋体"/>
          <w:b/>
          <w:bCs/>
          <w:i w:val="0"/>
          <w:iCs w:val="0"/>
          <w:color w:val="000000"/>
          <w:w w:val="80"/>
          <w:sz w:val="52"/>
          <w:szCs w:val="52"/>
        </w:rPr>
      </w:pPr>
      <w:r>
        <w:rPr>
          <w:rFonts w:hint="eastAsia" w:ascii="宋体" w:hAnsi="宋体" w:cs="宋体"/>
          <w:b/>
          <w:bCs/>
          <w:i w:val="0"/>
          <w:iCs w:val="0"/>
          <w:color w:val="000000"/>
          <w:w w:val="80"/>
          <w:sz w:val="52"/>
          <w:szCs w:val="52"/>
        </w:rPr>
        <w:t>目   录</w:t>
      </w:r>
    </w:p>
    <w:p>
      <w:pPr>
        <w:pStyle w:val="34"/>
        <w:tabs>
          <w:tab w:val="right" w:leader="dot" w:pos="9528"/>
          <w:tab w:val="clear" w:pos="840"/>
          <w:tab w:val="clear" w:pos="9402"/>
        </w:tabs>
        <w:snapToGrid/>
        <w:spacing w:line="600" w:lineRule="auto"/>
        <w:ind w:firstLine="160" w:firstLineChars="200"/>
        <w:textAlignment w:val="baseline"/>
        <w:rPr>
          <w:rFonts w:ascii="宋体" w:cs="宋体"/>
          <w:caps w:val="0"/>
          <w:w w:val="100"/>
          <w:sz w:val="8"/>
          <w:szCs w:val="32"/>
        </w:rPr>
      </w:pPr>
    </w:p>
    <w:p>
      <w:pPr>
        <w:pStyle w:val="34"/>
        <w:tabs>
          <w:tab w:val="right" w:leader="dot" w:pos="9528"/>
          <w:tab w:val="clear" w:pos="840"/>
          <w:tab w:val="clear" w:pos="9402"/>
        </w:tabs>
        <w:snapToGrid/>
        <w:spacing w:before="240" w:line="600" w:lineRule="auto"/>
        <w:ind w:firstLine="640" w:firstLineChars="200"/>
        <w:textAlignment w:val="baseline"/>
        <w:rPr>
          <w:rFonts w:ascii="宋体" w:cs="宋体"/>
          <w:caps w:val="0"/>
          <w:w w:val="100"/>
          <w:sz w:val="32"/>
          <w:szCs w:val="32"/>
        </w:rPr>
      </w:pPr>
      <w:r>
        <w:rPr>
          <w:rFonts w:hint="eastAsia" w:ascii="宋体" w:cs="宋体"/>
          <w:caps w:val="0"/>
          <w:w w:val="100"/>
          <w:sz w:val="32"/>
          <w:szCs w:val="32"/>
        </w:rPr>
        <w:t>第一章   竞争性磋商公告</w:t>
      </w:r>
    </w:p>
    <w:p>
      <w:pPr>
        <w:pStyle w:val="34"/>
        <w:tabs>
          <w:tab w:val="right" w:leader="dot" w:pos="9528"/>
          <w:tab w:val="clear" w:pos="840"/>
          <w:tab w:val="clear" w:pos="9402"/>
        </w:tabs>
        <w:snapToGrid/>
        <w:spacing w:line="600" w:lineRule="auto"/>
        <w:ind w:firstLine="640" w:firstLineChars="200"/>
        <w:textAlignment w:val="baseline"/>
        <w:rPr>
          <w:rFonts w:ascii="宋体" w:cs="宋体"/>
          <w:caps w:val="0"/>
          <w:w w:val="100"/>
          <w:sz w:val="32"/>
          <w:szCs w:val="32"/>
        </w:rPr>
      </w:pPr>
      <w:r>
        <w:rPr>
          <w:rFonts w:hint="eastAsia" w:ascii="宋体" w:cs="宋体"/>
          <w:caps w:val="0"/>
          <w:w w:val="100"/>
          <w:sz w:val="32"/>
          <w:szCs w:val="32"/>
        </w:rPr>
        <w:t>第二章   磋商供应商须知</w:t>
      </w:r>
    </w:p>
    <w:p>
      <w:pPr>
        <w:pStyle w:val="34"/>
        <w:tabs>
          <w:tab w:val="right" w:leader="dot" w:pos="9528"/>
          <w:tab w:val="clear" w:pos="840"/>
          <w:tab w:val="clear" w:pos="9402"/>
        </w:tabs>
        <w:snapToGrid/>
        <w:spacing w:line="600" w:lineRule="auto"/>
        <w:ind w:firstLine="640" w:firstLineChars="200"/>
        <w:textAlignment w:val="baseline"/>
        <w:rPr>
          <w:rFonts w:ascii="宋体" w:cs="宋体"/>
          <w:caps w:val="0"/>
          <w:w w:val="100"/>
          <w:sz w:val="32"/>
          <w:szCs w:val="32"/>
        </w:rPr>
      </w:pPr>
      <w:r>
        <w:rPr>
          <w:rFonts w:hint="eastAsia" w:ascii="宋体" w:cs="宋体"/>
          <w:caps w:val="0"/>
          <w:w w:val="100"/>
          <w:sz w:val="32"/>
          <w:szCs w:val="32"/>
        </w:rPr>
        <w:t>第三章   项目需求</w:t>
      </w:r>
    </w:p>
    <w:p>
      <w:pPr>
        <w:pStyle w:val="34"/>
        <w:tabs>
          <w:tab w:val="right" w:leader="dot" w:pos="9528"/>
          <w:tab w:val="clear" w:pos="840"/>
          <w:tab w:val="clear" w:pos="9402"/>
        </w:tabs>
        <w:snapToGrid/>
        <w:spacing w:line="600" w:lineRule="auto"/>
        <w:ind w:firstLine="640" w:firstLineChars="200"/>
        <w:textAlignment w:val="baseline"/>
        <w:rPr>
          <w:rFonts w:ascii="宋体" w:cs="宋体"/>
          <w:caps w:val="0"/>
          <w:w w:val="100"/>
          <w:sz w:val="32"/>
          <w:szCs w:val="32"/>
        </w:rPr>
      </w:pPr>
      <w:r>
        <w:rPr>
          <w:rFonts w:hint="eastAsia" w:ascii="宋体" w:cs="宋体"/>
          <w:caps w:val="0"/>
          <w:w w:val="100"/>
          <w:sz w:val="32"/>
          <w:szCs w:val="32"/>
        </w:rPr>
        <w:t>第四章   评审方法和程序</w:t>
      </w:r>
    </w:p>
    <w:p>
      <w:pPr>
        <w:pStyle w:val="34"/>
        <w:tabs>
          <w:tab w:val="right" w:leader="dot" w:pos="9528"/>
          <w:tab w:val="clear" w:pos="840"/>
          <w:tab w:val="clear" w:pos="9402"/>
        </w:tabs>
        <w:snapToGrid/>
        <w:spacing w:line="600" w:lineRule="auto"/>
        <w:ind w:firstLine="640" w:firstLineChars="200"/>
        <w:textAlignment w:val="baseline"/>
        <w:rPr>
          <w:rFonts w:ascii="宋体" w:cs="宋体"/>
          <w:caps w:val="0"/>
          <w:w w:val="100"/>
          <w:sz w:val="32"/>
          <w:szCs w:val="32"/>
        </w:rPr>
      </w:pPr>
      <w:r>
        <w:rPr>
          <w:rFonts w:hint="eastAsia" w:ascii="宋体" w:cs="宋体"/>
          <w:caps w:val="0"/>
          <w:w w:val="100"/>
          <w:sz w:val="32"/>
          <w:szCs w:val="32"/>
        </w:rPr>
        <w:t>第五章   合同主要条款</w:t>
      </w:r>
    </w:p>
    <w:p>
      <w:pPr>
        <w:pStyle w:val="34"/>
        <w:tabs>
          <w:tab w:val="right" w:leader="dot" w:pos="9528"/>
          <w:tab w:val="clear" w:pos="840"/>
          <w:tab w:val="clear" w:pos="9402"/>
        </w:tabs>
        <w:snapToGrid/>
        <w:spacing w:line="600" w:lineRule="auto"/>
        <w:ind w:firstLine="640" w:firstLineChars="200"/>
        <w:textAlignment w:val="baseline"/>
        <w:rPr>
          <w:rFonts w:ascii="宋体" w:cs="宋体"/>
          <w:caps w:val="0"/>
          <w:w w:val="100"/>
          <w:sz w:val="32"/>
          <w:szCs w:val="32"/>
        </w:rPr>
      </w:pPr>
      <w:r>
        <w:rPr>
          <w:rFonts w:hint="eastAsia" w:ascii="宋体" w:cs="宋体"/>
          <w:caps w:val="0"/>
          <w:w w:val="100"/>
          <w:sz w:val="32"/>
          <w:szCs w:val="32"/>
        </w:rPr>
        <w:t>第六章   合同授予</w:t>
      </w:r>
    </w:p>
    <w:p>
      <w:pPr>
        <w:pStyle w:val="34"/>
        <w:tabs>
          <w:tab w:val="right" w:leader="dot" w:pos="9528"/>
          <w:tab w:val="clear" w:pos="840"/>
          <w:tab w:val="clear" w:pos="9402"/>
        </w:tabs>
        <w:snapToGrid/>
        <w:spacing w:line="600" w:lineRule="auto"/>
        <w:ind w:firstLine="640" w:firstLineChars="200"/>
        <w:textAlignment w:val="baseline"/>
        <w:rPr>
          <w:rFonts w:ascii="宋体" w:cs="宋体"/>
          <w:caps w:val="0"/>
          <w:w w:val="100"/>
          <w:sz w:val="32"/>
          <w:szCs w:val="32"/>
        </w:rPr>
      </w:pPr>
      <w:r>
        <w:rPr>
          <w:rFonts w:hint="eastAsia" w:ascii="宋体" w:cs="宋体"/>
          <w:caps w:val="0"/>
          <w:w w:val="100"/>
          <w:sz w:val="32"/>
          <w:szCs w:val="32"/>
        </w:rPr>
        <w:t>第七章   质疑提出和处理</w:t>
      </w:r>
    </w:p>
    <w:p>
      <w:pPr>
        <w:pStyle w:val="34"/>
        <w:tabs>
          <w:tab w:val="right" w:leader="dot" w:pos="9528"/>
          <w:tab w:val="clear" w:pos="840"/>
          <w:tab w:val="clear" w:pos="9402"/>
        </w:tabs>
        <w:snapToGrid/>
        <w:spacing w:line="600" w:lineRule="auto"/>
        <w:ind w:firstLine="640" w:firstLineChars="200"/>
        <w:textAlignment w:val="baseline"/>
        <w:rPr>
          <w:rFonts w:ascii="宋体" w:cs="宋体"/>
          <w:caps w:val="0"/>
          <w:w w:val="100"/>
          <w:sz w:val="32"/>
          <w:szCs w:val="32"/>
        </w:rPr>
      </w:pPr>
      <w:r>
        <w:rPr>
          <w:rFonts w:hint="eastAsia" w:ascii="宋体" w:cs="宋体"/>
          <w:caps w:val="0"/>
          <w:w w:val="100"/>
          <w:sz w:val="32"/>
          <w:szCs w:val="32"/>
        </w:rPr>
        <w:t>第八章   响应文件组成及格式</w:t>
      </w:r>
    </w:p>
    <w:p>
      <w:pPr>
        <w:rPr>
          <w:rFonts w:ascii="宋体"/>
          <w:color w:val="000000"/>
          <w:sz w:val="36"/>
          <w:szCs w:val="36"/>
        </w:rPr>
      </w:pPr>
    </w:p>
    <w:p>
      <w:pPr>
        <w:rPr>
          <w:rFonts w:ascii="宋体"/>
          <w:color w:val="000000"/>
          <w:sz w:val="36"/>
          <w:szCs w:val="36"/>
        </w:rPr>
      </w:pPr>
    </w:p>
    <w:bookmarkEnd w:id="0"/>
    <w:bookmarkEnd w:id="1"/>
    <w:bookmarkEnd w:id="2"/>
    <w:bookmarkEnd w:id="3"/>
    <w:bookmarkEnd w:id="4"/>
    <w:bookmarkEnd w:id="5"/>
    <w:bookmarkEnd w:id="6"/>
    <w:bookmarkEnd w:id="7"/>
    <w:bookmarkEnd w:id="8"/>
    <w:bookmarkEnd w:id="9"/>
    <w:p>
      <w:pPr>
        <w:spacing w:line="360" w:lineRule="auto"/>
        <w:rPr>
          <w:rFonts w:ascii="宋体" w:hAnsi="宋体" w:cs="宋体"/>
          <w:b/>
          <w:color w:val="000000"/>
          <w:sz w:val="24"/>
          <w:szCs w:val="24"/>
        </w:rPr>
        <w:sectPr>
          <w:pgSz w:w="11906" w:h="16838"/>
          <w:pgMar w:top="1361" w:right="1191" w:bottom="1191" w:left="1361" w:header="851" w:footer="992" w:gutter="0"/>
          <w:pgNumType w:fmt="numberInDash"/>
          <w:cols w:space="720" w:num="1"/>
          <w:titlePg/>
          <w:docGrid w:linePitch="312" w:charSpace="0"/>
        </w:sectPr>
      </w:pPr>
      <w:bookmarkStart w:id="10" w:name="_Toc11500280"/>
      <w:bookmarkStart w:id="11" w:name="_Toc12670503"/>
      <w:bookmarkStart w:id="12" w:name="_Toc11554639"/>
      <w:bookmarkStart w:id="13" w:name="_Toc94585340"/>
      <w:bookmarkStart w:id="14" w:name="_Toc94544828"/>
      <w:bookmarkStart w:id="15" w:name="_Toc521201597"/>
      <w:bookmarkStart w:id="16" w:name="_Toc521203418"/>
      <w:bookmarkStart w:id="17" w:name="_Toc94544744"/>
      <w:bookmarkStart w:id="18" w:name="_Toc8895739"/>
      <w:bookmarkStart w:id="19" w:name="_Toc11499584"/>
      <w:bookmarkStart w:id="20" w:name="_Toc363573854"/>
    </w:p>
    <w:p>
      <w:pPr>
        <w:spacing w:line="360" w:lineRule="auto"/>
        <w:rPr>
          <w:rFonts w:ascii="宋体" w:hAnsi="宋体" w:cs="宋体"/>
          <w:b/>
          <w:color w:val="000000"/>
          <w:sz w:val="24"/>
          <w:szCs w:val="24"/>
        </w:rPr>
      </w:pPr>
      <w:r>
        <w:rPr>
          <w:rFonts w:hint="eastAsia" w:ascii="宋体" w:hAnsi="宋体" w:cs="宋体"/>
          <w:b/>
          <w:color w:val="000000"/>
          <w:sz w:val="24"/>
          <w:szCs w:val="24"/>
        </w:rPr>
        <w:t>各潜在供应商：</w:t>
      </w:r>
    </w:p>
    <w:p>
      <w:pPr>
        <w:tabs>
          <w:tab w:val="left" w:pos="1050"/>
          <w:tab w:val="right" w:leader="dot" w:pos="9402"/>
        </w:tabs>
        <w:spacing w:line="360" w:lineRule="auto"/>
        <w:ind w:firstLine="482" w:firstLineChars="200"/>
        <w:jc w:val="left"/>
        <w:outlineLvl w:val="0"/>
        <w:rPr>
          <w:rFonts w:ascii="宋体" w:hAnsi="宋体" w:cs="宋体"/>
          <w:b/>
          <w:color w:val="000000"/>
          <w:sz w:val="24"/>
          <w:szCs w:val="24"/>
        </w:rPr>
      </w:pPr>
      <w:r>
        <w:rPr>
          <w:rFonts w:hint="eastAsia" w:ascii="宋体" w:hAnsi="宋体" w:cs="宋体"/>
          <w:b/>
          <w:color w:val="000000"/>
          <w:sz w:val="24"/>
          <w:szCs w:val="24"/>
        </w:rPr>
        <w:t>欢迎参加本采购项目的竞争性磋商。为了保证本次磋商项目顺利进行，请在制作响应文件之前，仔细阅读本竞争性磋商文件的各项条款，并按要求制作和递交响应文件。谢谢合作！</w:t>
      </w:r>
    </w:p>
    <w:p>
      <w:pPr>
        <w:tabs>
          <w:tab w:val="left" w:pos="1050"/>
          <w:tab w:val="right" w:leader="dot" w:pos="9402"/>
        </w:tabs>
        <w:spacing w:line="360" w:lineRule="auto"/>
        <w:jc w:val="center"/>
        <w:outlineLvl w:val="0"/>
        <w:rPr>
          <w:rFonts w:ascii="宋体" w:hAnsi="宋体" w:cs="宋体"/>
          <w:b/>
          <w:color w:val="000000"/>
        </w:rPr>
      </w:pPr>
    </w:p>
    <w:p>
      <w:pPr>
        <w:tabs>
          <w:tab w:val="left" w:pos="1050"/>
          <w:tab w:val="right" w:leader="dot" w:pos="9402"/>
        </w:tabs>
        <w:spacing w:line="360" w:lineRule="auto"/>
        <w:jc w:val="center"/>
        <w:outlineLvl w:val="0"/>
        <w:rPr>
          <w:rFonts w:ascii="宋体" w:hAnsi="宋体" w:cs="宋体"/>
          <w:b/>
          <w:color w:val="000000"/>
          <w:w w:val="80"/>
          <w:sz w:val="44"/>
          <w:szCs w:val="44"/>
        </w:rPr>
      </w:pPr>
      <w:r>
        <w:rPr>
          <w:rFonts w:hint="eastAsia" w:ascii="宋体" w:hAnsi="宋体" w:cs="宋体"/>
          <w:b/>
          <w:color w:val="000000"/>
          <w:w w:val="80"/>
          <w:sz w:val="44"/>
          <w:szCs w:val="44"/>
        </w:rPr>
        <w:t xml:space="preserve">第一章  </w:t>
      </w:r>
      <w:bookmarkStart w:id="21" w:name="OLE_LINK1"/>
      <w:r>
        <w:rPr>
          <w:rFonts w:hint="eastAsia" w:ascii="宋体" w:hAnsi="宋体" w:cs="宋体"/>
          <w:b/>
          <w:color w:val="000000"/>
          <w:w w:val="80"/>
          <w:sz w:val="44"/>
          <w:szCs w:val="44"/>
        </w:rPr>
        <w:t>竞争性磋商公告</w:t>
      </w:r>
    </w:p>
    <w:p>
      <w:pPr>
        <w:rPr>
          <w:szCs w:val="20"/>
        </w:rPr>
      </w:pPr>
    </w:p>
    <w:tbl>
      <w:tblPr>
        <w:tblStyle w:val="51"/>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8976" w:type="dxa"/>
          </w:tcPr>
          <w:p>
            <w:pPr>
              <w:widowControl/>
              <w:shd w:val="clear" w:color="auto" w:fill="FFFFFF"/>
              <w:snapToGrid w:val="0"/>
              <w:spacing w:before="120" w:beforeLines="50" w:line="360" w:lineRule="auto"/>
              <w:ind w:firstLine="482" w:firstLineChars="200"/>
              <w:jc w:val="left"/>
              <w:rPr>
                <w:rFonts w:ascii="宋体" w:hAnsi="宋体" w:cs="Arial"/>
                <w:b/>
                <w:bCs/>
                <w:kern w:val="0"/>
                <w:sz w:val="24"/>
                <w:szCs w:val="24"/>
              </w:rPr>
            </w:pPr>
            <w:bookmarkStart w:id="22" w:name="_Toc363573853"/>
            <w:r>
              <w:rPr>
                <w:rFonts w:hint="eastAsia" w:ascii="宋体" w:hAnsi="宋体" w:cs="Arial"/>
                <w:b/>
                <w:bCs/>
                <w:kern w:val="0"/>
                <w:sz w:val="24"/>
                <w:szCs w:val="24"/>
              </w:rPr>
              <w:t>项目概况</w:t>
            </w:r>
          </w:p>
          <w:p>
            <w:pPr>
              <w:tabs>
                <w:tab w:val="left" w:pos="6300"/>
              </w:tabs>
              <w:snapToGrid w:val="0"/>
              <w:spacing w:line="300" w:lineRule="auto"/>
              <w:ind w:firstLine="482" w:firstLineChars="200"/>
              <w:rPr>
                <w:rFonts w:ascii="宋体" w:hAnsi="宋体" w:cs="Arial"/>
                <w:b/>
                <w:bCs/>
                <w:kern w:val="0"/>
                <w:sz w:val="24"/>
                <w:szCs w:val="24"/>
                <w:u w:val="single"/>
              </w:rPr>
            </w:pPr>
            <w:r>
              <w:rPr>
                <w:rFonts w:hint="eastAsia" w:ascii="宋体" w:hAnsi="宋体" w:cs="Arial"/>
                <w:b/>
                <w:bCs/>
                <w:kern w:val="0"/>
                <w:sz w:val="24"/>
                <w:szCs w:val="24"/>
                <w:u w:val="single"/>
              </w:rPr>
              <w:t>南通市妇幼保健院出生医学证明进馆档案整理服务项目</w:t>
            </w:r>
            <w:r>
              <w:rPr>
                <w:rFonts w:hint="eastAsia" w:ascii="宋体" w:hAnsi="宋体" w:cs="Arial"/>
                <w:bCs/>
                <w:kern w:val="0"/>
                <w:sz w:val="24"/>
                <w:szCs w:val="24"/>
              </w:rPr>
              <w:t>的潜在供应商应在</w:t>
            </w:r>
            <w:r>
              <w:rPr>
                <w:rFonts w:hint="eastAsia" w:ascii="宋体" w:hAnsi="宋体" w:cs="Arial"/>
                <w:b/>
                <w:bCs/>
                <w:kern w:val="0"/>
                <w:sz w:val="24"/>
                <w:szCs w:val="24"/>
                <w:u w:val="single"/>
              </w:rPr>
              <w:t>南通市卫生健康委员会官网（http://wjw.nantong.gov.cn）和南通市妇幼保健院官网（http://www.ntfybj.com）</w:t>
            </w:r>
            <w:r>
              <w:rPr>
                <w:rFonts w:hint="eastAsia" w:ascii="宋体" w:hAnsi="宋体" w:cs="Arial"/>
                <w:bCs/>
                <w:kern w:val="0"/>
                <w:sz w:val="24"/>
                <w:szCs w:val="24"/>
              </w:rPr>
              <w:t>内获取竞争性磋商文件，并于</w:t>
            </w:r>
            <w:r>
              <w:rPr>
                <w:rFonts w:hint="eastAsia" w:ascii="宋体" w:hAnsi="宋体" w:cs="Arial"/>
                <w:b/>
                <w:bCs/>
                <w:kern w:val="0"/>
                <w:sz w:val="24"/>
                <w:szCs w:val="24"/>
                <w:u w:val="single"/>
              </w:rPr>
              <w:t>2022年</w:t>
            </w:r>
            <w:r>
              <w:rPr>
                <w:rFonts w:hint="eastAsia" w:ascii="宋体" w:hAnsi="宋体" w:cs="Arial"/>
                <w:b/>
                <w:bCs/>
                <w:kern w:val="0"/>
                <w:sz w:val="24"/>
                <w:szCs w:val="24"/>
                <w:u w:val="single"/>
                <w:lang w:val="en-US" w:eastAsia="zh-CN"/>
              </w:rPr>
              <w:t>4</w:t>
            </w:r>
            <w:r>
              <w:rPr>
                <w:rFonts w:hint="eastAsia" w:ascii="宋体" w:hAnsi="宋体" w:cs="Arial"/>
                <w:b/>
                <w:bCs/>
                <w:kern w:val="0"/>
                <w:sz w:val="24"/>
                <w:szCs w:val="24"/>
                <w:u w:val="single"/>
              </w:rPr>
              <w:t>月</w:t>
            </w:r>
            <w:r>
              <w:rPr>
                <w:rFonts w:hint="eastAsia" w:ascii="宋体" w:hAnsi="宋体" w:cs="Arial"/>
                <w:b/>
                <w:bCs/>
                <w:kern w:val="0"/>
                <w:sz w:val="24"/>
                <w:szCs w:val="24"/>
                <w:u w:val="single"/>
                <w:lang w:val="en-US" w:eastAsia="zh-CN"/>
              </w:rPr>
              <w:t>2</w:t>
            </w:r>
            <w:r>
              <w:rPr>
                <w:rFonts w:hint="eastAsia" w:ascii="宋体" w:hAnsi="宋体" w:cs="Arial"/>
                <w:b/>
                <w:bCs/>
                <w:kern w:val="0"/>
                <w:sz w:val="24"/>
                <w:szCs w:val="24"/>
                <w:u w:val="single"/>
              </w:rPr>
              <w:t>日</w:t>
            </w:r>
            <w:r>
              <w:rPr>
                <w:rFonts w:hint="eastAsia" w:ascii="宋体" w:hAnsi="宋体" w:cs="Arial"/>
                <w:b/>
                <w:bCs/>
                <w:kern w:val="0"/>
                <w:sz w:val="24"/>
                <w:szCs w:val="24"/>
                <w:u w:val="single"/>
                <w:lang w:val="en-US" w:eastAsia="zh-CN"/>
              </w:rPr>
              <w:t>0</w:t>
            </w:r>
            <w:r>
              <w:rPr>
                <w:rFonts w:hint="eastAsia" w:ascii="宋体" w:hAnsi="宋体" w:cs="Arial"/>
                <w:b/>
                <w:bCs/>
                <w:kern w:val="0"/>
                <w:sz w:val="24"/>
                <w:szCs w:val="24"/>
                <w:u w:val="single"/>
              </w:rPr>
              <w:t>9时30分（北京时间）</w:t>
            </w:r>
            <w:r>
              <w:rPr>
                <w:rFonts w:hint="eastAsia" w:ascii="宋体" w:hAnsi="宋体" w:cs="Arial"/>
                <w:bCs/>
                <w:kern w:val="0"/>
                <w:sz w:val="24"/>
                <w:szCs w:val="24"/>
              </w:rPr>
              <w:t>前提交响应文件。</w:t>
            </w:r>
          </w:p>
        </w:tc>
      </w:tr>
      <w:bookmarkEnd w:id="22"/>
    </w:tbl>
    <w:p>
      <w:pPr>
        <w:widowControl/>
        <w:snapToGrid w:val="0"/>
        <w:spacing w:line="360" w:lineRule="auto"/>
        <w:ind w:firstLine="470" w:firstLineChars="196"/>
        <w:jc w:val="left"/>
        <w:rPr>
          <w:rFonts w:ascii="宋体" w:hAnsi="宋体" w:cs="宋体"/>
          <w:color w:val="000000"/>
          <w:sz w:val="24"/>
          <w:szCs w:val="24"/>
        </w:rPr>
      </w:pP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color w:val="000000"/>
          <w:sz w:val="24"/>
          <w:szCs w:val="24"/>
          <w:u w:val="single"/>
        </w:rPr>
        <w:t xml:space="preserve"> 南通万隆工程管理有限公司</w:t>
      </w:r>
      <w:r>
        <w:rPr>
          <w:rFonts w:hint="eastAsia" w:ascii="宋体" w:hAnsi="宋体" w:cs="Arial"/>
          <w:bCs/>
          <w:kern w:val="0"/>
          <w:sz w:val="24"/>
          <w:szCs w:val="24"/>
        </w:rPr>
        <w:t>（以下称代理机构）</w:t>
      </w:r>
      <w:r>
        <w:rPr>
          <w:rFonts w:hint="eastAsia" w:ascii="宋体" w:hAnsi="宋体" w:cs="宋体"/>
          <w:color w:val="000000"/>
          <w:sz w:val="24"/>
          <w:szCs w:val="24"/>
        </w:rPr>
        <w:t>受</w:t>
      </w:r>
      <w:r>
        <w:rPr>
          <w:rFonts w:hint="eastAsia" w:ascii="宋体" w:hAnsi="宋体" w:cs="宋体"/>
          <w:color w:val="000000"/>
          <w:sz w:val="24"/>
          <w:szCs w:val="24"/>
          <w:u w:val="single"/>
        </w:rPr>
        <w:t>南通市妇幼保健院</w:t>
      </w:r>
      <w:r>
        <w:rPr>
          <w:rFonts w:hint="eastAsia" w:ascii="宋体" w:hAnsi="宋体" w:cs="宋体"/>
          <w:color w:val="000000"/>
          <w:sz w:val="24"/>
          <w:szCs w:val="24"/>
        </w:rPr>
        <w:t>（以下称</w:t>
      </w:r>
      <w:r>
        <w:rPr>
          <w:rFonts w:hint="eastAsia" w:ascii="宋体" w:hAnsi="宋体" w:cs="Arial"/>
          <w:bCs/>
          <w:kern w:val="0"/>
          <w:sz w:val="24"/>
          <w:szCs w:val="24"/>
        </w:rPr>
        <w:t>采购人</w:t>
      </w:r>
      <w:r>
        <w:rPr>
          <w:rFonts w:hint="eastAsia" w:ascii="宋体" w:hAnsi="宋体" w:cs="宋体"/>
          <w:color w:val="000000"/>
          <w:sz w:val="24"/>
          <w:szCs w:val="24"/>
        </w:rPr>
        <w:t>）</w:t>
      </w:r>
      <w:r>
        <w:rPr>
          <w:rFonts w:hint="eastAsia" w:ascii="宋体" w:hAnsi="宋体" w:cs="宋体"/>
          <w:sz w:val="24"/>
          <w:szCs w:val="24"/>
        </w:rPr>
        <w:t>的委托，就其</w:t>
      </w:r>
      <w:r>
        <w:rPr>
          <w:rFonts w:hint="eastAsia" w:ascii="宋体" w:hAnsi="宋体" w:cs="Arial"/>
          <w:kern w:val="0"/>
          <w:sz w:val="24"/>
          <w:szCs w:val="24"/>
          <w:u w:val="single"/>
        </w:rPr>
        <w:t>南通市妇幼保健院出生医学证明进馆档案整理服务项目</w:t>
      </w:r>
      <w:r>
        <w:rPr>
          <w:rFonts w:hint="eastAsia" w:ascii="宋体" w:hAnsi="宋体" w:cs="宋体"/>
          <w:sz w:val="24"/>
          <w:szCs w:val="24"/>
        </w:rPr>
        <w:t>组织竞争性磋商采购，诚邀符合条件的潜在供应商参加该项目的竞争性磋商。</w:t>
      </w:r>
    </w:p>
    <w:p>
      <w:pPr>
        <w:widowControl/>
        <w:shd w:val="clear" w:color="auto" w:fill="FFFFFF"/>
        <w:snapToGrid w:val="0"/>
        <w:spacing w:line="360" w:lineRule="auto"/>
        <w:ind w:firstLine="482" w:firstLineChars="200"/>
        <w:jc w:val="left"/>
        <w:rPr>
          <w:rFonts w:ascii="Open Sans" w:hAnsi="Open Sans" w:cs="Arial"/>
          <w:kern w:val="0"/>
          <w:sz w:val="24"/>
          <w:szCs w:val="24"/>
        </w:rPr>
      </w:pPr>
      <w:r>
        <w:rPr>
          <w:rFonts w:hint="eastAsia" w:ascii="宋体" w:hAnsi="宋体" w:cs="Arial"/>
          <w:b/>
          <w:bCs/>
          <w:kern w:val="0"/>
          <w:sz w:val="24"/>
          <w:szCs w:val="24"/>
        </w:rPr>
        <w:t>一、项目基本情况：</w:t>
      </w:r>
    </w:p>
    <w:p>
      <w:pPr>
        <w:widowControl/>
        <w:shd w:val="clear" w:color="auto" w:fill="FFFFFF"/>
        <w:snapToGrid w:val="0"/>
        <w:spacing w:line="360" w:lineRule="auto"/>
        <w:ind w:firstLine="480" w:firstLineChars="200"/>
        <w:jc w:val="left"/>
        <w:rPr>
          <w:rFonts w:ascii="Open Sans" w:hAnsi="Open Sans" w:cs="Arial"/>
          <w:kern w:val="0"/>
          <w:sz w:val="24"/>
          <w:szCs w:val="24"/>
        </w:rPr>
      </w:pPr>
      <w:r>
        <w:rPr>
          <w:rFonts w:hint="eastAsia" w:ascii="宋体" w:hAnsi="宋体" w:cs="Arial"/>
          <w:kern w:val="0"/>
          <w:sz w:val="24"/>
          <w:szCs w:val="24"/>
        </w:rPr>
        <w:t>1</w:t>
      </w:r>
      <w:r>
        <w:rPr>
          <w:rFonts w:hint="eastAsia" w:ascii="宋体" w:hAnsi="宋体"/>
          <w:sz w:val="24"/>
          <w:szCs w:val="24"/>
        </w:rPr>
        <w:t>、</w:t>
      </w:r>
      <w:r>
        <w:rPr>
          <w:rFonts w:hint="eastAsia" w:ascii="宋体" w:hAnsi="宋体" w:cs="Arial"/>
          <w:kern w:val="0"/>
          <w:sz w:val="24"/>
          <w:szCs w:val="24"/>
        </w:rPr>
        <w:t>项目编号：WLDL202203020</w:t>
      </w:r>
    </w:p>
    <w:p>
      <w:pPr>
        <w:widowControl/>
        <w:shd w:val="clear" w:color="auto" w:fill="FFFFFF"/>
        <w:snapToGrid w:val="0"/>
        <w:spacing w:line="360" w:lineRule="auto"/>
        <w:ind w:firstLine="480" w:firstLineChars="200"/>
        <w:jc w:val="left"/>
        <w:rPr>
          <w:rFonts w:ascii="宋体" w:hAnsi="宋体" w:cs="Arial"/>
          <w:kern w:val="0"/>
          <w:sz w:val="24"/>
          <w:szCs w:val="24"/>
        </w:rPr>
      </w:pPr>
      <w:r>
        <w:rPr>
          <w:rFonts w:hint="eastAsia" w:ascii="宋体" w:hAnsi="宋体" w:cs="Arial"/>
          <w:kern w:val="0"/>
          <w:sz w:val="24"/>
          <w:szCs w:val="24"/>
        </w:rPr>
        <w:t>2</w:t>
      </w:r>
      <w:r>
        <w:rPr>
          <w:rFonts w:hint="eastAsia" w:ascii="宋体" w:hAnsi="宋体"/>
          <w:sz w:val="24"/>
          <w:szCs w:val="24"/>
        </w:rPr>
        <w:t>、</w:t>
      </w:r>
      <w:r>
        <w:rPr>
          <w:rFonts w:hint="eastAsia" w:ascii="宋体" w:hAnsi="宋体" w:cs="Arial"/>
          <w:kern w:val="0"/>
          <w:sz w:val="24"/>
          <w:szCs w:val="24"/>
        </w:rPr>
        <w:t>项目名称：南通市妇幼保健院出生医学证明进馆档案整理服务项目</w:t>
      </w:r>
    </w:p>
    <w:p>
      <w:pPr>
        <w:widowControl/>
        <w:shd w:val="clear" w:color="auto" w:fill="FFFFFF"/>
        <w:snapToGrid w:val="0"/>
        <w:spacing w:line="360" w:lineRule="auto"/>
        <w:ind w:firstLine="480" w:firstLineChars="200"/>
        <w:jc w:val="left"/>
        <w:rPr>
          <w:rFonts w:ascii="Open Sans" w:hAnsi="Open Sans" w:cs="Arial"/>
          <w:kern w:val="0"/>
          <w:sz w:val="24"/>
          <w:szCs w:val="24"/>
        </w:rPr>
      </w:pPr>
      <w:r>
        <w:rPr>
          <w:rFonts w:hint="eastAsia" w:ascii="宋体" w:hAnsi="宋体" w:cs="Arial"/>
          <w:kern w:val="0"/>
          <w:sz w:val="24"/>
          <w:szCs w:val="24"/>
        </w:rPr>
        <w:t>3</w:t>
      </w:r>
      <w:r>
        <w:rPr>
          <w:rFonts w:hint="eastAsia" w:ascii="宋体" w:hAnsi="宋体"/>
          <w:sz w:val="24"/>
          <w:szCs w:val="24"/>
        </w:rPr>
        <w:t>、</w:t>
      </w:r>
      <w:r>
        <w:rPr>
          <w:rFonts w:hint="eastAsia" w:ascii="宋体" w:hAnsi="宋体" w:cs="Arial"/>
          <w:kern w:val="0"/>
          <w:sz w:val="24"/>
          <w:szCs w:val="24"/>
        </w:rPr>
        <w:t>采购方式：竞争性磋商</w:t>
      </w:r>
    </w:p>
    <w:p>
      <w:pPr>
        <w:widowControl/>
        <w:shd w:val="clear" w:color="auto" w:fill="FFFFFF"/>
        <w:snapToGrid w:val="0"/>
        <w:spacing w:line="360" w:lineRule="auto"/>
        <w:ind w:firstLine="480" w:firstLineChars="200"/>
        <w:jc w:val="left"/>
        <w:rPr>
          <w:rFonts w:hint="default" w:ascii="宋体" w:hAnsi="宋体" w:eastAsia="宋体" w:cs="Arial"/>
          <w:kern w:val="0"/>
          <w:sz w:val="24"/>
          <w:szCs w:val="24"/>
          <w:lang w:val="en-US" w:eastAsia="zh-CN"/>
        </w:rPr>
      </w:pPr>
      <w:r>
        <w:rPr>
          <w:rFonts w:hint="eastAsia" w:ascii="宋体" w:hAnsi="宋体" w:cs="Arial"/>
          <w:kern w:val="0"/>
          <w:sz w:val="24"/>
          <w:szCs w:val="24"/>
        </w:rPr>
        <w:t>4</w:t>
      </w:r>
      <w:r>
        <w:rPr>
          <w:rFonts w:hint="eastAsia" w:ascii="宋体" w:hAnsi="宋体"/>
          <w:sz w:val="24"/>
          <w:szCs w:val="24"/>
        </w:rPr>
        <w:t>、</w:t>
      </w:r>
      <w:r>
        <w:rPr>
          <w:rFonts w:hint="eastAsia" w:ascii="宋体" w:hAnsi="宋体" w:cs="Arial"/>
          <w:kern w:val="0"/>
          <w:sz w:val="24"/>
          <w:szCs w:val="24"/>
        </w:rPr>
        <w:t>采购</w:t>
      </w:r>
      <w:r>
        <w:rPr>
          <w:rFonts w:hint="eastAsia" w:ascii="宋体" w:hAnsi="宋体" w:cs="Arial"/>
          <w:kern w:val="0"/>
          <w:sz w:val="24"/>
          <w:szCs w:val="24"/>
          <w:lang w:val="en-US" w:eastAsia="zh-CN"/>
        </w:rPr>
        <w:t>最高限价</w:t>
      </w:r>
      <w:r>
        <w:rPr>
          <w:rFonts w:hint="eastAsia" w:ascii="宋体" w:hAnsi="宋体" w:cs="Arial"/>
          <w:kern w:val="0"/>
          <w:sz w:val="24"/>
          <w:szCs w:val="24"/>
        </w:rPr>
        <w:t>：</w:t>
      </w:r>
      <w:r>
        <w:rPr>
          <w:rFonts w:hint="eastAsia" w:ascii="宋体" w:hAnsi="宋体" w:cs="Arial"/>
          <w:kern w:val="0"/>
          <w:sz w:val="24"/>
          <w:szCs w:val="24"/>
          <w:lang w:val="en-US" w:eastAsia="zh-CN"/>
        </w:rPr>
        <w:t>总价</w:t>
      </w:r>
      <w:r>
        <w:rPr>
          <w:rFonts w:hint="eastAsia" w:ascii="宋体" w:hAnsi="宋体" w:cs="Arial"/>
          <w:kern w:val="0"/>
          <w:sz w:val="24"/>
          <w:szCs w:val="24"/>
        </w:rPr>
        <w:t>人民币</w:t>
      </w:r>
      <w:r>
        <w:rPr>
          <w:rFonts w:hint="eastAsia" w:ascii="宋体" w:hAnsi="宋体" w:cs="宋体"/>
          <w:snapToGrid w:val="0"/>
          <w:kern w:val="0"/>
          <w:sz w:val="24"/>
          <w:szCs w:val="24"/>
          <w:lang w:val="en-US" w:eastAsia="zh-CN"/>
        </w:rPr>
        <w:t>149850.00</w:t>
      </w:r>
      <w:r>
        <w:rPr>
          <w:rFonts w:hint="eastAsia" w:ascii="宋体" w:hAnsi="宋体" w:cs="Arial"/>
          <w:kern w:val="0"/>
          <w:sz w:val="24"/>
          <w:szCs w:val="24"/>
        </w:rPr>
        <w:t>元</w:t>
      </w:r>
      <w:r>
        <w:rPr>
          <w:rFonts w:hint="eastAsia" w:ascii="宋体" w:hAnsi="宋体" w:cs="Arial"/>
          <w:kern w:val="0"/>
          <w:sz w:val="24"/>
          <w:szCs w:val="24"/>
          <w:lang w:eastAsia="zh-CN"/>
        </w:rPr>
        <w:t>，</w:t>
      </w:r>
      <w:r>
        <w:rPr>
          <w:rFonts w:hint="eastAsia" w:ascii="宋体" w:hAnsi="宋体" w:cs="Arial"/>
          <w:kern w:val="0"/>
          <w:sz w:val="24"/>
          <w:szCs w:val="24"/>
          <w:lang w:val="en-US" w:eastAsia="zh-CN"/>
        </w:rPr>
        <w:t>单价人民币2.70元/份</w:t>
      </w:r>
    </w:p>
    <w:p>
      <w:pPr>
        <w:pStyle w:val="2"/>
        <w:snapToGrid w:val="0"/>
        <w:spacing w:after="0" w:line="360" w:lineRule="auto"/>
        <w:ind w:firstLine="480"/>
        <w:rPr>
          <w:rFonts w:hint="eastAsia" w:ascii="宋体" w:hAnsi="宋体" w:eastAsia="宋体" w:cs="Arial"/>
          <w:b/>
          <w:kern w:val="0"/>
          <w:sz w:val="24"/>
          <w:szCs w:val="24"/>
          <w:lang w:val="en-US" w:eastAsia="zh-CN"/>
        </w:rPr>
      </w:pPr>
      <w:r>
        <w:rPr>
          <w:rFonts w:hint="eastAsia" w:ascii="宋体" w:hAnsi="宋体" w:cs="Arial"/>
          <w:kern w:val="0"/>
          <w:sz w:val="24"/>
          <w:szCs w:val="24"/>
        </w:rPr>
        <w:t>5、项目需求：</w:t>
      </w:r>
      <w:r>
        <w:rPr>
          <w:rFonts w:hint="eastAsia" w:ascii="宋体" w:hAnsi="宋体" w:cs="Arial"/>
          <w:kern w:val="0"/>
          <w:sz w:val="24"/>
          <w:szCs w:val="24"/>
          <w:lang w:val="en-US" w:eastAsia="zh-CN"/>
        </w:rPr>
        <w:t>约5.55万份，其余</w:t>
      </w:r>
      <w:r>
        <w:rPr>
          <w:rFonts w:hint="eastAsia" w:ascii="宋体" w:hAnsi="宋体" w:cs="Arial"/>
          <w:kern w:val="0"/>
          <w:sz w:val="24"/>
          <w:szCs w:val="24"/>
        </w:rPr>
        <w:t>详见第三章</w:t>
      </w:r>
      <w:r>
        <w:rPr>
          <w:rFonts w:hint="eastAsia" w:ascii="宋体" w:hAnsi="宋体" w:cs="Arial"/>
          <w:kern w:val="0"/>
          <w:sz w:val="24"/>
          <w:szCs w:val="24"/>
          <w:lang w:val="en-US" w:eastAsia="zh-CN"/>
        </w:rPr>
        <w:t>项目需求</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6、服务期限：</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1999-2002年档案共1.55万份在2022年12月30日前完成验收进馆。</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2015-2018年档案约4万份在2022年12月30日前完成验收。</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7、本项目不接受多个供应商组成联合体参与竞争性磋商响应。</w:t>
      </w:r>
    </w:p>
    <w:p>
      <w:pPr>
        <w:widowControl/>
        <w:shd w:val="clear" w:color="auto" w:fill="FFFFFF"/>
        <w:snapToGrid w:val="0"/>
        <w:spacing w:line="360" w:lineRule="auto"/>
        <w:ind w:firstLine="482" w:firstLineChars="200"/>
        <w:jc w:val="left"/>
        <w:rPr>
          <w:rFonts w:ascii="Open Sans" w:hAnsi="Open Sans" w:cs="Arial"/>
          <w:kern w:val="0"/>
          <w:sz w:val="24"/>
          <w:szCs w:val="24"/>
        </w:rPr>
      </w:pPr>
      <w:r>
        <w:rPr>
          <w:rFonts w:hint="eastAsia" w:ascii="宋体" w:hAnsi="宋体" w:cs="Arial"/>
          <w:b/>
          <w:bCs/>
          <w:kern w:val="0"/>
          <w:sz w:val="24"/>
          <w:szCs w:val="24"/>
        </w:rPr>
        <w:t>二、供应商的资格要求</w:t>
      </w:r>
    </w:p>
    <w:p>
      <w:pPr>
        <w:snapToGrid w:val="0"/>
        <w:spacing w:line="360" w:lineRule="auto"/>
        <w:ind w:firstLine="480" w:firstLineChars="200"/>
        <w:rPr>
          <w:rFonts w:ascii="宋体" w:hAnsi="宋体" w:cs="宋体"/>
          <w:color w:val="000000"/>
          <w:sz w:val="24"/>
          <w:szCs w:val="24"/>
        </w:rPr>
      </w:pPr>
      <w:r>
        <w:rPr>
          <w:rFonts w:hint="eastAsia" w:ascii="宋体" w:hAnsi="宋体"/>
          <w:sz w:val="24"/>
          <w:szCs w:val="24"/>
        </w:rPr>
        <w:t>1、</w:t>
      </w:r>
      <w:r>
        <w:rPr>
          <w:rFonts w:hint="eastAsia" w:ascii="宋体" w:hAnsi="宋体" w:cs="宋体"/>
          <w:color w:val="000000"/>
          <w:sz w:val="24"/>
          <w:szCs w:val="24"/>
        </w:rPr>
        <w:t>满足《中华人民共和国政府采购法》第二十二条规定：具有独立承担民事责任的能力</w:t>
      </w:r>
      <w:r>
        <w:rPr>
          <w:rFonts w:hint="eastAsia" w:ascii="宋体" w:hAnsi="宋体" w:cs="宋体"/>
          <w:sz w:val="24"/>
          <w:szCs w:val="24"/>
        </w:rPr>
        <w:t>；具有良好的商业信誉和健全的财务会计制度；具有履行合同</w:t>
      </w:r>
      <w:r>
        <w:rPr>
          <w:rFonts w:hint="eastAsia" w:ascii="宋体" w:hAnsi="宋体" w:cs="宋体"/>
          <w:color w:val="000000"/>
          <w:sz w:val="24"/>
          <w:szCs w:val="24"/>
        </w:rPr>
        <w:t>所必需的设备和专业技术能力；有依法缴纳税收和社会保障资金的良好记录；参加政府采购活动前三年内，在经营活动中没有重大违法记录。</w:t>
      </w:r>
    </w:p>
    <w:p>
      <w:pPr>
        <w:widowControl/>
        <w:snapToGrid w:val="0"/>
        <w:spacing w:line="360" w:lineRule="auto"/>
        <w:ind w:firstLine="480" w:firstLineChars="200"/>
        <w:rPr>
          <w:rFonts w:ascii="宋体" w:hAnsi="宋体" w:cs="宋体"/>
          <w:sz w:val="24"/>
          <w:szCs w:val="24"/>
        </w:rPr>
      </w:pPr>
      <w:r>
        <w:rPr>
          <w:rFonts w:hint="eastAsia" w:ascii="宋体" w:hAnsi="宋体"/>
          <w:sz w:val="24"/>
          <w:szCs w:val="24"/>
        </w:rPr>
        <w:t>2、</w:t>
      </w:r>
      <w:r>
        <w:rPr>
          <w:rFonts w:hint="eastAsia" w:ascii="宋体" w:hAnsi="宋体" w:cs="宋体"/>
          <w:sz w:val="24"/>
          <w:szCs w:val="24"/>
        </w:rPr>
        <w:t>法定代表人为同一个人的两个及两个以上法人，母公司、全资子公司及其控股公司，都不得在同一采购项目或同一项目中同时参加投标，一经发现，将视同围标处理。</w:t>
      </w:r>
    </w:p>
    <w:p>
      <w:pPr>
        <w:widowControl/>
        <w:snapToGrid w:val="0"/>
        <w:spacing w:line="360" w:lineRule="auto"/>
        <w:ind w:firstLine="480" w:firstLineChars="200"/>
        <w:rPr>
          <w:rFonts w:ascii="宋体" w:hAnsi="宋体"/>
          <w:sz w:val="24"/>
          <w:szCs w:val="24"/>
        </w:rPr>
      </w:pPr>
      <w:r>
        <w:rPr>
          <w:rFonts w:hint="eastAsia" w:ascii="宋体" w:hAnsi="宋体"/>
          <w:sz w:val="24"/>
          <w:szCs w:val="24"/>
        </w:rPr>
        <w:t>3、供应商必须提供有效的营业执照。</w:t>
      </w:r>
    </w:p>
    <w:p>
      <w:pPr>
        <w:widowControl/>
        <w:snapToGrid w:val="0"/>
        <w:spacing w:line="360" w:lineRule="auto"/>
        <w:ind w:firstLine="480" w:firstLineChars="200"/>
        <w:rPr>
          <w:rFonts w:ascii="宋体" w:hAnsi="宋体"/>
          <w:snapToGrid w:val="0"/>
          <w:kern w:val="0"/>
          <w:sz w:val="24"/>
          <w:szCs w:val="24"/>
        </w:rPr>
      </w:pPr>
      <w:r>
        <w:rPr>
          <w:rFonts w:hint="eastAsia" w:ascii="宋体" w:hAnsi="宋体"/>
          <w:sz w:val="24"/>
          <w:szCs w:val="24"/>
        </w:rPr>
        <w:t>4、供应商法定代表人参加磋商的，必须提供法定代表人身份证明（格式详见第八章）及本人身份证的复印件或扫描打印件；非法定代表人参加磋商的，必须提供法定代表人签字或盖章的授权委托书（格式详见第八章）及被授权人本人的身份证复印件或扫描打印件、</w:t>
      </w:r>
      <w:r>
        <w:rPr>
          <w:rFonts w:hint="eastAsia" w:ascii="宋体" w:hAnsi="宋体"/>
          <w:snapToGrid w:val="0"/>
          <w:kern w:val="0"/>
          <w:sz w:val="24"/>
          <w:szCs w:val="24"/>
        </w:rPr>
        <w:t>被授权人为供应商正式人员证明材料【提供①与供应商签订的有效劳动合同；②社保机构出具并盖章的供应商为其缴纳最近6个月（至少缴纳至2022年</w:t>
      </w:r>
      <w:r>
        <w:rPr>
          <w:rFonts w:hint="eastAsia" w:ascii="宋体" w:hAnsi="宋体"/>
          <w:snapToGrid w:val="0"/>
          <w:kern w:val="0"/>
          <w:sz w:val="24"/>
          <w:szCs w:val="24"/>
          <w:lang w:val="en-US" w:eastAsia="zh-CN"/>
        </w:rPr>
        <w:t>2</w:t>
      </w:r>
      <w:r>
        <w:rPr>
          <w:rFonts w:hint="eastAsia" w:ascii="宋体" w:hAnsi="宋体"/>
          <w:snapToGrid w:val="0"/>
          <w:kern w:val="0"/>
          <w:sz w:val="24"/>
          <w:szCs w:val="24"/>
        </w:rPr>
        <w:t>月份）的养老保险缴费清单】。</w:t>
      </w:r>
    </w:p>
    <w:p>
      <w:pPr>
        <w:widowControl/>
        <w:snapToGrid w:val="0"/>
        <w:spacing w:line="360" w:lineRule="auto"/>
        <w:ind w:firstLine="480" w:firstLineChars="200"/>
        <w:rPr>
          <w:rFonts w:ascii="宋体" w:hAnsi="宋体"/>
          <w:snapToGrid w:val="0"/>
          <w:sz w:val="24"/>
          <w:szCs w:val="24"/>
        </w:rPr>
      </w:pPr>
      <w:r>
        <w:rPr>
          <w:rFonts w:hint="eastAsia" w:ascii="宋体" w:hAnsi="宋体"/>
          <w:snapToGrid w:val="0"/>
          <w:kern w:val="0"/>
          <w:sz w:val="24"/>
          <w:szCs w:val="24"/>
        </w:rPr>
        <w:t>5</w:t>
      </w:r>
      <w:r>
        <w:rPr>
          <w:rFonts w:hint="eastAsia" w:ascii="宋体" w:hAnsi="宋体"/>
          <w:snapToGrid w:val="0"/>
          <w:sz w:val="24"/>
          <w:szCs w:val="24"/>
        </w:rPr>
        <w:t>、供应商一般情况表（格式详见第八章）。</w:t>
      </w:r>
    </w:p>
    <w:p>
      <w:pPr>
        <w:widowControl/>
        <w:snapToGrid w:val="0"/>
        <w:spacing w:line="360" w:lineRule="auto"/>
        <w:ind w:firstLine="480" w:firstLineChars="200"/>
        <w:rPr>
          <w:rFonts w:ascii="宋体" w:hAnsi="宋体"/>
          <w:snapToGrid w:val="0"/>
          <w:sz w:val="24"/>
          <w:szCs w:val="24"/>
        </w:rPr>
      </w:pPr>
      <w:r>
        <w:rPr>
          <w:rFonts w:hint="eastAsia" w:ascii="宋体" w:hAnsi="宋体"/>
          <w:snapToGrid w:val="0"/>
          <w:kern w:val="0"/>
          <w:sz w:val="24"/>
          <w:szCs w:val="24"/>
        </w:rPr>
        <w:t>6、</w:t>
      </w:r>
      <w:r>
        <w:rPr>
          <w:rFonts w:hint="eastAsia" w:ascii="宋体" w:hAnsi="宋体"/>
          <w:snapToGrid w:val="0"/>
          <w:sz w:val="24"/>
          <w:szCs w:val="24"/>
        </w:rPr>
        <w:t>供应商须提供参与本次项目政府采购活动前三年内，在经营活动中没有重大违法记录的书面《无重大违法记录声明函》（格式详见第八章）。</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7、关于资格文件的声明函（格式详见第八章）。</w:t>
      </w:r>
    </w:p>
    <w:p>
      <w:pPr>
        <w:widowControl/>
        <w:snapToGrid w:val="0"/>
        <w:spacing w:line="360" w:lineRule="auto"/>
        <w:ind w:firstLine="472" w:firstLineChars="196"/>
        <w:jc w:val="left"/>
        <w:rPr>
          <w:rFonts w:ascii="宋体" w:hAnsi="宋体" w:cs="宋体"/>
          <w:b/>
          <w:sz w:val="24"/>
          <w:szCs w:val="24"/>
          <w:u w:val="single"/>
        </w:rPr>
      </w:pPr>
      <w:r>
        <w:rPr>
          <w:rFonts w:hint="eastAsia" w:ascii="宋体" w:hAnsi="宋体" w:cs="宋体"/>
          <w:b/>
          <w:color w:val="000000"/>
          <w:sz w:val="24"/>
          <w:szCs w:val="24"/>
          <w:u w:val="single"/>
        </w:rPr>
        <w:t>具体</w:t>
      </w:r>
      <w:r>
        <w:rPr>
          <w:rFonts w:hint="eastAsia" w:ascii="宋体" w:hAnsi="宋体" w:cs="宋体"/>
          <w:b/>
          <w:sz w:val="24"/>
          <w:szCs w:val="24"/>
          <w:u w:val="single"/>
        </w:rPr>
        <w:t>资格要求详见第八章的相关内容。</w:t>
      </w:r>
    </w:p>
    <w:p>
      <w:pPr>
        <w:widowControl/>
        <w:shd w:val="clear" w:color="auto" w:fill="FFFFFF"/>
        <w:snapToGrid w:val="0"/>
        <w:spacing w:line="360" w:lineRule="auto"/>
        <w:ind w:firstLine="482" w:firstLineChars="200"/>
        <w:jc w:val="left"/>
        <w:rPr>
          <w:rFonts w:ascii="Open Sans" w:hAnsi="Open Sans" w:cs="Arial"/>
          <w:kern w:val="0"/>
          <w:sz w:val="24"/>
          <w:szCs w:val="24"/>
        </w:rPr>
      </w:pPr>
      <w:r>
        <w:rPr>
          <w:rFonts w:hint="eastAsia" w:ascii="宋体" w:hAnsi="宋体" w:cs="Arial"/>
          <w:b/>
          <w:bCs/>
          <w:kern w:val="0"/>
          <w:sz w:val="24"/>
          <w:szCs w:val="24"/>
        </w:rPr>
        <w:t>三、竞争性磋商文件的获取</w:t>
      </w:r>
    </w:p>
    <w:p>
      <w:pPr>
        <w:widowControl/>
        <w:shd w:val="clear" w:color="auto" w:fill="FFFFFF"/>
        <w:snapToGrid w:val="0"/>
        <w:spacing w:line="360" w:lineRule="auto"/>
        <w:ind w:firstLine="480" w:firstLineChars="200"/>
        <w:jc w:val="left"/>
        <w:rPr>
          <w:rFonts w:ascii="宋体" w:hAnsi="宋体" w:cs="Arial"/>
          <w:kern w:val="0"/>
          <w:sz w:val="24"/>
          <w:szCs w:val="24"/>
        </w:rPr>
      </w:pPr>
      <w:r>
        <w:rPr>
          <w:rFonts w:hint="eastAsia" w:ascii="宋体" w:hAnsi="宋体" w:cs="Arial"/>
          <w:kern w:val="0"/>
          <w:sz w:val="24"/>
          <w:szCs w:val="24"/>
        </w:rPr>
        <w:t>时  间：自本公告发布之日起至2022年</w:t>
      </w:r>
      <w:r>
        <w:rPr>
          <w:rFonts w:hint="eastAsia" w:ascii="宋体" w:hAnsi="宋体" w:cs="Arial"/>
          <w:kern w:val="0"/>
          <w:sz w:val="24"/>
          <w:szCs w:val="24"/>
          <w:lang w:val="en-US" w:eastAsia="zh-CN"/>
        </w:rPr>
        <w:t>4</w:t>
      </w:r>
      <w:r>
        <w:rPr>
          <w:rFonts w:hint="eastAsia" w:ascii="宋体" w:hAnsi="宋体" w:cs="Arial"/>
          <w:kern w:val="0"/>
          <w:sz w:val="24"/>
          <w:szCs w:val="24"/>
        </w:rPr>
        <w:t>月</w:t>
      </w:r>
      <w:r>
        <w:rPr>
          <w:rFonts w:hint="eastAsia" w:ascii="宋体" w:hAnsi="宋体" w:cs="Arial"/>
          <w:kern w:val="0"/>
          <w:sz w:val="24"/>
          <w:szCs w:val="24"/>
          <w:lang w:val="en-US" w:eastAsia="zh-CN"/>
        </w:rPr>
        <w:t>2</w:t>
      </w:r>
      <w:r>
        <w:rPr>
          <w:rFonts w:hint="eastAsia" w:ascii="宋体" w:hAnsi="宋体" w:cs="Arial"/>
          <w:kern w:val="0"/>
          <w:sz w:val="24"/>
          <w:szCs w:val="24"/>
        </w:rPr>
        <w:t>日</w:t>
      </w:r>
    </w:p>
    <w:p>
      <w:pPr>
        <w:widowControl/>
        <w:shd w:val="clear" w:color="auto" w:fill="FFFFFF"/>
        <w:snapToGrid w:val="0"/>
        <w:spacing w:line="360" w:lineRule="auto"/>
        <w:ind w:firstLine="480" w:firstLineChars="200"/>
        <w:rPr>
          <w:rFonts w:ascii="宋体" w:hAnsi="宋体" w:cs="Arial"/>
          <w:kern w:val="0"/>
          <w:sz w:val="24"/>
          <w:szCs w:val="24"/>
        </w:rPr>
      </w:pPr>
      <w:r>
        <w:rPr>
          <w:rFonts w:hint="eastAsia" w:ascii="宋体" w:hAnsi="宋体" w:cs="Arial"/>
          <w:kern w:val="0"/>
          <w:sz w:val="24"/>
          <w:szCs w:val="24"/>
        </w:rPr>
        <w:t>地  点：有意愿参与本项目竞争性磋商响应的供应商，请于本公告发布日起至磋商响应文件递交截止时间前，到</w:t>
      </w:r>
      <w:r>
        <w:rPr>
          <w:rFonts w:hint="eastAsia" w:ascii="宋体" w:hAnsi="宋体" w:cs="宋体"/>
          <w:sz w:val="24"/>
          <w:szCs w:val="24"/>
          <w:u w:val="single"/>
        </w:rPr>
        <w:t>“南通市卫生健康委员会官网（http://wjw.nantong.gov.cn）和南通市妇幼保健院官网（http://www.ntfybj.com）”</w:t>
      </w:r>
      <w:r>
        <w:rPr>
          <w:rFonts w:hint="eastAsia" w:ascii="宋体" w:hAnsi="宋体" w:cs="Arial"/>
          <w:kern w:val="0"/>
          <w:sz w:val="24"/>
          <w:szCs w:val="24"/>
        </w:rPr>
        <w:t>内下载本项目的竞争性磋商文件。</w:t>
      </w:r>
    </w:p>
    <w:p>
      <w:pPr>
        <w:widowControl/>
        <w:adjustRightInd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方</w:t>
      </w:r>
      <w:r>
        <w:rPr>
          <w:rFonts w:hint="eastAsia" w:ascii="宋体" w:hAnsi="宋体" w:cs="宋体"/>
          <w:kern w:val="0"/>
          <w:sz w:val="24"/>
          <w:szCs w:val="24"/>
        </w:rPr>
        <w:t xml:space="preserve">  </w:t>
      </w:r>
      <w:r>
        <w:rPr>
          <w:rFonts w:ascii="宋体" w:hAnsi="宋体" w:cs="宋体"/>
          <w:kern w:val="0"/>
          <w:sz w:val="24"/>
          <w:szCs w:val="24"/>
        </w:rPr>
        <w:t>式</w:t>
      </w:r>
      <w:r>
        <w:rPr>
          <w:rFonts w:hint="eastAsia" w:ascii="宋体" w:hAnsi="宋体" w:cs="宋体"/>
          <w:kern w:val="0"/>
          <w:sz w:val="24"/>
          <w:szCs w:val="24"/>
        </w:rPr>
        <w:t>：</w:t>
      </w:r>
      <w:r>
        <w:rPr>
          <w:rFonts w:ascii="宋体" w:hAnsi="宋体" w:cs="宋体"/>
          <w:kern w:val="0"/>
          <w:sz w:val="24"/>
          <w:szCs w:val="24"/>
        </w:rPr>
        <w:t>自行下载</w:t>
      </w:r>
    </w:p>
    <w:p>
      <w:pPr>
        <w:pStyle w:val="2"/>
        <w:ind w:firstLine="480"/>
      </w:pPr>
      <w:r>
        <w:rPr>
          <w:rFonts w:hint="eastAsia" w:ascii="宋体" w:hAnsi="宋体" w:cs="宋体"/>
          <w:sz w:val="24"/>
          <w:szCs w:val="24"/>
        </w:rPr>
        <w:t>售  价：每套300元，在递交磋商响应文件的同时提交给招标代理机构。</w:t>
      </w:r>
    </w:p>
    <w:p>
      <w:pPr>
        <w:widowControl/>
        <w:shd w:val="clear" w:color="auto" w:fill="FFFFFF"/>
        <w:snapToGrid w:val="0"/>
        <w:spacing w:line="360" w:lineRule="auto"/>
        <w:ind w:firstLine="482" w:firstLineChars="200"/>
        <w:jc w:val="left"/>
        <w:rPr>
          <w:rFonts w:ascii="Open Sans" w:hAnsi="Open Sans" w:cs="Arial"/>
          <w:kern w:val="0"/>
          <w:sz w:val="24"/>
          <w:szCs w:val="24"/>
        </w:rPr>
      </w:pPr>
      <w:r>
        <w:rPr>
          <w:rFonts w:hint="eastAsia" w:ascii="宋体" w:hAnsi="宋体" w:cs="Arial"/>
          <w:b/>
          <w:bCs/>
          <w:kern w:val="0"/>
          <w:sz w:val="24"/>
          <w:szCs w:val="24"/>
        </w:rPr>
        <w:t>四、竞争性磋商响应文件的提交</w:t>
      </w:r>
    </w:p>
    <w:p>
      <w:pPr>
        <w:widowControl/>
        <w:shd w:val="clear" w:color="auto" w:fill="FFFFFF"/>
        <w:snapToGrid w:val="0"/>
        <w:spacing w:line="360" w:lineRule="auto"/>
        <w:ind w:firstLine="480" w:firstLineChars="200"/>
        <w:jc w:val="left"/>
        <w:rPr>
          <w:rFonts w:ascii="Open Sans" w:hAnsi="Open Sans" w:cs="Arial"/>
          <w:kern w:val="0"/>
          <w:sz w:val="24"/>
          <w:szCs w:val="24"/>
        </w:rPr>
      </w:pPr>
      <w:r>
        <w:rPr>
          <w:rFonts w:hint="eastAsia" w:ascii="宋体" w:hAnsi="宋体" w:cs="Arial"/>
          <w:kern w:val="0"/>
          <w:sz w:val="24"/>
          <w:szCs w:val="24"/>
        </w:rPr>
        <w:t>1.截止时间：</w:t>
      </w:r>
      <w:r>
        <w:rPr>
          <w:rFonts w:hint="eastAsia" w:ascii="宋体" w:hAnsi="宋体" w:cs="宋体"/>
          <w:b/>
          <w:sz w:val="24"/>
          <w:szCs w:val="24"/>
          <w:u w:val="single"/>
        </w:rPr>
        <w:t>2022年</w:t>
      </w:r>
      <w:r>
        <w:rPr>
          <w:rFonts w:hint="eastAsia" w:ascii="宋体" w:hAnsi="宋体" w:cs="宋体"/>
          <w:b/>
          <w:sz w:val="24"/>
          <w:szCs w:val="24"/>
          <w:u w:val="single"/>
          <w:lang w:val="en-US" w:eastAsia="zh-CN"/>
        </w:rPr>
        <w:t>4</w:t>
      </w:r>
      <w:r>
        <w:rPr>
          <w:rFonts w:hint="eastAsia" w:ascii="宋体" w:hAnsi="宋体" w:cs="宋体"/>
          <w:b/>
          <w:sz w:val="24"/>
          <w:szCs w:val="24"/>
          <w:u w:val="single"/>
        </w:rPr>
        <w:t>月2日</w:t>
      </w:r>
      <w:r>
        <w:rPr>
          <w:rFonts w:hint="eastAsia" w:ascii="宋体" w:hAnsi="宋体" w:cs="宋体"/>
          <w:b/>
          <w:sz w:val="24"/>
          <w:szCs w:val="24"/>
          <w:u w:val="single"/>
          <w:lang w:val="en-US" w:eastAsia="zh-CN"/>
        </w:rPr>
        <w:t>0</w:t>
      </w:r>
      <w:r>
        <w:rPr>
          <w:rFonts w:hint="eastAsia" w:ascii="宋体" w:hAnsi="宋体" w:cs="宋体"/>
          <w:b/>
          <w:sz w:val="24"/>
          <w:szCs w:val="24"/>
          <w:u w:val="single"/>
        </w:rPr>
        <w:t>9时30分（北京时间）。</w:t>
      </w:r>
    </w:p>
    <w:p>
      <w:pPr>
        <w:widowControl/>
        <w:snapToGrid w:val="0"/>
        <w:spacing w:line="360" w:lineRule="auto"/>
        <w:ind w:firstLine="480" w:firstLineChars="200"/>
        <w:jc w:val="left"/>
        <w:rPr>
          <w:rFonts w:ascii="宋体" w:hAnsi="宋体" w:cs="宋体"/>
          <w:b/>
          <w:sz w:val="24"/>
          <w:szCs w:val="24"/>
        </w:rPr>
      </w:pPr>
      <w:r>
        <w:rPr>
          <w:rFonts w:hint="eastAsia" w:ascii="宋体" w:hAnsi="宋体" w:cs="Arial"/>
          <w:kern w:val="0"/>
          <w:sz w:val="24"/>
          <w:szCs w:val="24"/>
        </w:rPr>
        <w:t>2.地点：</w:t>
      </w:r>
      <w:r>
        <w:rPr>
          <w:rFonts w:hint="eastAsia" w:ascii="宋体" w:hAnsi="宋体" w:cs="宋体"/>
          <w:b/>
          <w:sz w:val="24"/>
          <w:szCs w:val="24"/>
          <w:u w:val="single"/>
        </w:rPr>
        <w:t>南通市崇川路58号产业技术研究院9号楼24楼万隆集团开标室，</w:t>
      </w:r>
      <w:r>
        <w:rPr>
          <w:rFonts w:hint="eastAsia" w:ascii="宋体" w:hAnsi="宋体" w:cs="宋体"/>
          <w:b/>
          <w:sz w:val="24"/>
          <w:szCs w:val="24"/>
        </w:rPr>
        <w:t>如有变动另行通知。</w:t>
      </w:r>
    </w:p>
    <w:p>
      <w:pPr>
        <w:widowControl/>
        <w:shd w:val="clear" w:color="auto" w:fill="FFFFFF"/>
        <w:snapToGrid w:val="0"/>
        <w:spacing w:line="360" w:lineRule="auto"/>
        <w:ind w:firstLine="482" w:firstLineChars="200"/>
        <w:jc w:val="left"/>
        <w:rPr>
          <w:rFonts w:ascii="Open Sans" w:hAnsi="Open Sans" w:cs="Arial"/>
          <w:kern w:val="0"/>
          <w:sz w:val="24"/>
          <w:szCs w:val="24"/>
        </w:rPr>
      </w:pPr>
      <w:r>
        <w:rPr>
          <w:rFonts w:hint="eastAsia" w:ascii="宋体" w:hAnsi="宋体" w:cs="Arial"/>
          <w:b/>
          <w:bCs/>
          <w:kern w:val="0"/>
          <w:sz w:val="24"/>
          <w:szCs w:val="24"/>
        </w:rPr>
        <w:t>五、开启</w:t>
      </w:r>
    </w:p>
    <w:p>
      <w:pPr>
        <w:widowControl/>
        <w:shd w:val="clear" w:color="auto" w:fill="FFFFFF"/>
        <w:snapToGrid w:val="0"/>
        <w:spacing w:line="360" w:lineRule="auto"/>
        <w:ind w:firstLine="480" w:firstLineChars="200"/>
        <w:jc w:val="left"/>
        <w:rPr>
          <w:rFonts w:ascii="Open Sans" w:hAnsi="Open Sans" w:cs="Arial"/>
          <w:kern w:val="0"/>
          <w:sz w:val="24"/>
          <w:szCs w:val="24"/>
        </w:rPr>
      </w:pPr>
      <w:r>
        <w:rPr>
          <w:rFonts w:hint="eastAsia" w:ascii="宋体" w:hAnsi="宋体" w:cs="Arial"/>
          <w:kern w:val="0"/>
          <w:sz w:val="24"/>
          <w:szCs w:val="24"/>
        </w:rPr>
        <w:t>1.时间：</w:t>
      </w:r>
      <w:r>
        <w:rPr>
          <w:rFonts w:hint="eastAsia" w:ascii="宋体" w:hAnsi="宋体" w:cs="宋体"/>
          <w:b/>
          <w:sz w:val="24"/>
          <w:szCs w:val="24"/>
          <w:u w:val="single"/>
        </w:rPr>
        <w:t>2022年</w:t>
      </w:r>
      <w:r>
        <w:rPr>
          <w:rFonts w:hint="eastAsia" w:ascii="宋体" w:hAnsi="宋体" w:cs="宋体"/>
          <w:b/>
          <w:sz w:val="24"/>
          <w:szCs w:val="24"/>
          <w:u w:val="single"/>
          <w:lang w:val="en-US" w:eastAsia="zh-CN"/>
        </w:rPr>
        <w:t>4</w:t>
      </w:r>
      <w:r>
        <w:rPr>
          <w:rFonts w:hint="eastAsia" w:ascii="宋体" w:hAnsi="宋体" w:cs="宋体"/>
          <w:b/>
          <w:sz w:val="24"/>
          <w:szCs w:val="24"/>
          <w:u w:val="single"/>
        </w:rPr>
        <w:t>月2日</w:t>
      </w:r>
      <w:r>
        <w:rPr>
          <w:rFonts w:hint="eastAsia" w:ascii="宋体" w:hAnsi="宋体" w:cs="宋体"/>
          <w:b/>
          <w:sz w:val="24"/>
          <w:szCs w:val="24"/>
          <w:u w:val="single"/>
          <w:lang w:val="en-US" w:eastAsia="zh-CN"/>
        </w:rPr>
        <w:t>0</w:t>
      </w:r>
      <w:r>
        <w:rPr>
          <w:rFonts w:hint="eastAsia" w:ascii="宋体" w:hAnsi="宋体" w:cs="宋体"/>
          <w:b/>
          <w:sz w:val="24"/>
          <w:szCs w:val="24"/>
          <w:u w:val="single"/>
        </w:rPr>
        <w:t>9时30分（北京时间）</w:t>
      </w:r>
      <w:r>
        <w:rPr>
          <w:rFonts w:hint="eastAsia" w:ascii="宋体" w:hAnsi="宋体" w:cs="Arial"/>
          <w:kern w:val="0"/>
          <w:sz w:val="24"/>
          <w:szCs w:val="24"/>
        </w:rPr>
        <w:t>。</w:t>
      </w:r>
    </w:p>
    <w:p>
      <w:pPr>
        <w:widowControl/>
        <w:shd w:val="clear" w:color="auto" w:fill="FFFFFF"/>
        <w:snapToGrid w:val="0"/>
        <w:spacing w:line="360" w:lineRule="auto"/>
        <w:ind w:firstLine="480" w:firstLineChars="200"/>
        <w:jc w:val="left"/>
        <w:rPr>
          <w:rFonts w:ascii="Open Sans" w:hAnsi="Open Sans" w:cs="Arial"/>
          <w:kern w:val="0"/>
          <w:sz w:val="24"/>
          <w:szCs w:val="24"/>
        </w:rPr>
      </w:pPr>
      <w:r>
        <w:rPr>
          <w:rFonts w:hint="eastAsia" w:ascii="宋体" w:hAnsi="宋体" w:cs="Arial"/>
          <w:kern w:val="0"/>
          <w:sz w:val="24"/>
          <w:szCs w:val="24"/>
        </w:rPr>
        <w:t>2.地点：</w:t>
      </w:r>
      <w:r>
        <w:rPr>
          <w:rFonts w:hint="eastAsia" w:ascii="宋体" w:hAnsi="宋体" w:cs="宋体"/>
          <w:b/>
          <w:sz w:val="24"/>
          <w:szCs w:val="24"/>
          <w:u w:val="single"/>
        </w:rPr>
        <w:t>南通市崇川路58号产业技术研究院9号楼24楼万隆集团开标室，</w:t>
      </w:r>
      <w:r>
        <w:rPr>
          <w:rFonts w:hint="eastAsia" w:ascii="宋体" w:hAnsi="宋体" w:cs="宋体"/>
          <w:b/>
          <w:sz w:val="24"/>
          <w:szCs w:val="24"/>
        </w:rPr>
        <w:t>如有变动另行通知。</w:t>
      </w:r>
    </w:p>
    <w:p>
      <w:pPr>
        <w:pStyle w:val="126"/>
        <w:numPr>
          <w:ilvl w:val="0"/>
          <w:numId w:val="0"/>
        </w:numPr>
        <w:snapToGrid w:val="0"/>
        <w:spacing w:line="360" w:lineRule="auto"/>
        <w:ind w:firstLine="482" w:firstLineChars="200"/>
        <w:rPr>
          <w:rFonts w:hint="eastAsia" w:ascii="宋体" w:hAnsi="宋体" w:eastAsia="宋体" w:cs="宋体"/>
          <w:b/>
          <w:color w:val="FF0000"/>
          <w:sz w:val="24"/>
          <w:szCs w:val="24"/>
        </w:rPr>
      </w:pPr>
      <w:r>
        <w:rPr>
          <w:rFonts w:hint="eastAsia" w:ascii="宋体" w:hAnsi="宋体" w:eastAsia="宋体" w:cs="宋体"/>
          <w:b/>
          <w:color w:val="FF0000"/>
          <w:sz w:val="24"/>
          <w:szCs w:val="24"/>
        </w:rPr>
        <w:t>特别提醒：</w:t>
      </w:r>
    </w:p>
    <w:p>
      <w:pPr>
        <w:pStyle w:val="126"/>
        <w:numPr>
          <w:ilvl w:val="0"/>
          <w:numId w:val="0"/>
        </w:numPr>
        <w:snapToGrid w:val="0"/>
        <w:spacing w:line="360" w:lineRule="auto"/>
        <w:ind w:firstLine="482" w:firstLineChars="200"/>
        <w:rPr>
          <w:rFonts w:hint="default" w:ascii="宋体" w:hAnsi="宋体" w:eastAsia="宋体" w:cs="宋体"/>
          <w:lang w:val="en-US" w:eastAsia="zh-CN"/>
        </w:rPr>
      </w:pPr>
      <w:r>
        <w:rPr>
          <w:rFonts w:hint="eastAsia" w:hAnsi="宋体" w:eastAsia="宋体" w:cs="宋体"/>
          <w:b/>
          <w:color w:val="FF0000"/>
          <w:sz w:val="24"/>
          <w:szCs w:val="24"/>
          <w:lang w:val="en-US" w:eastAsia="zh-CN"/>
        </w:rPr>
        <w:t>1、因目前仍属于新冠疫情防控阶段，故只允许每个供应商的1名人员进入磋商现场。请各供应商代表做好自身防护，全程配戴口罩，同时还须接受开标现场工作人员的检查（包括但不限于信息登记、检查健康码、行程码、核酸检测证明等）。若健康码为黄码和红码，则一律不得进入磋商现场；若行程码带“*”，则须提供48小时内的“阴性”核酸检测报告，否则不得进入磋商现场。若开标当日，南通市防疫部门有最新规定且高于上述标准，则以开标当日南通市防疫部门的规定为准。若因未配合检查或不符合检查要求而引起的后果，由各供应商自行承担。</w:t>
      </w:r>
    </w:p>
    <w:p>
      <w:pPr>
        <w:pStyle w:val="126"/>
        <w:numPr>
          <w:ilvl w:val="0"/>
          <w:numId w:val="0"/>
        </w:numPr>
        <w:snapToGrid w:val="0"/>
        <w:spacing w:line="360" w:lineRule="auto"/>
        <w:ind w:firstLine="482" w:firstLineChars="200"/>
        <w:rPr>
          <w:rFonts w:hint="eastAsia" w:hAnsi="宋体" w:eastAsia="宋体" w:cs="宋体"/>
          <w:b/>
          <w:color w:val="FF0000"/>
          <w:sz w:val="24"/>
          <w:szCs w:val="24"/>
          <w:lang w:eastAsia="zh-CN"/>
        </w:rPr>
      </w:pPr>
      <w:r>
        <w:rPr>
          <w:rFonts w:hint="eastAsia" w:hAnsi="宋体" w:eastAsia="宋体" w:cs="宋体"/>
          <w:b/>
          <w:color w:val="FF0000"/>
          <w:sz w:val="24"/>
          <w:szCs w:val="24"/>
          <w:lang w:val="en-US" w:eastAsia="zh-CN"/>
        </w:rPr>
        <w:t>2、</w:t>
      </w:r>
      <w:r>
        <w:rPr>
          <w:rFonts w:hint="eastAsia" w:ascii="宋体" w:hAnsi="宋体" w:eastAsia="宋体" w:cs="宋体"/>
          <w:b/>
          <w:color w:val="FF0000"/>
          <w:sz w:val="24"/>
          <w:szCs w:val="24"/>
        </w:rPr>
        <w:t>因该办公大楼乘坐电梯需要工作人员刷卡，各供应商可以直接乘坐8号电梯或者请大楼保安帮助刷卡</w:t>
      </w:r>
      <w:r>
        <w:rPr>
          <w:rFonts w:hint="eastAsia" w:hAnsi="宋体" w:eastAsia="宋体" w:cs="宋体"/>
          <w:b/>
          <w:color w:val="FF0000"/>
          <w:sz w:val="24"/>
          <w:szCs w:val="24"/>
          <w:lang w:eastAsia="zh-CN"/>
        </w:rPr>
        <w:t>。</w:t>
      </w:r>
    </w:p>
    <w:p>
      <w:pPr>
        <w:pStyle w:val="126"/>
        <w:numPr>
          <w:ilvl w:val="0"/>
          <w:numId w:val="0"/>
        </w:numPr>
        <w:snapToGrid w:val="0"/>
        <w:spacing w:line="360" w:lineRule="auto"/>
        <w:ind w:firstLine="482" w:firstLineChars="200"/>
        <w:rPr>
          <w:rFonts w:hint="eastAsia" w:ascii="宋体" w:hAnsi="宋体" w:cs="Arial"/>
          <w:b/>
          <w:bCs/>
          <w:kern w:val="0"/>
          <w:sz w:val="24"/>
          <w:szCs w:val="24"/>
        </w:rPr>
      </w:pPr>
      <w:r>
        <w:rPr>
          <w:rFonts w:hint="eastAsia" w:hAnsi="宋体" w:eastAsia="宋体" w:cs="宋体"/>
          <w:b/>
          <w:color w:val="FF0000"/>
          <w:sz w:val="24"/>
          <w:szCs w:val="24"/>
          <w:lang w:val="en-US" w:eastAsia="zh-CN"/>
        </w:rPr>
        <w:t>3、</w:t>
      </w:r>
      <w:r>
        <w:rPr>
          <w:rFonts w:hint="eastAsia" w:ascii="宋体" w:hAnsi="宋体" w:eastAsia="宋体" w:cs="宋体"/>
          <w:b/>
          <w:color w:val="FF0000"/>
          <w:sz w:val="24"/>
          <w:szCs w:val="24"/>
        </w:rPr>
        <w:t>请供应商留有充足时间，确保在截止时间之前递交</w:t>
      </w:r>
      <w:r>
        <w:rPr>
          <w:rFonts w:hint="eastAsia" w:hAnsi="宋体" w:eastAsia="宋体" w:cs="宋体"/>
          <w:b/>
          <w:color w:val="FF0000"/>
          <w:sz w:val="24"/>
          <w:szCs w:val="24"/>
          <w:lang w:val="en-US" w:eastAsia="zh-CN"/>
        </w:rPr>
        <w:t>询价</w:t>
      </w:r>
      <w:r>
        <w:rPr>
          <w:rFonts w:hint="eastAsia" w:ascii="宋体" w:hAnsi="宋体" w:eastAsia="宋体" w:cs="宋体"/>
          <w:b/>
          <w:color w:val="FF0000"/>
          <w:sz w:val="24"/>
          <w:szCs w:val="24"/>
        </w:rPr>
        <w:t>响应文件。</w:t>
      </w:r>
    </w:p>
    <w:p>
      <w:pPr>
        <w:widowControl/>
        <w:shd w:val="clear" w:color="auto" w:fill="FFFFFF"/>
        <w:snapToGrid w:val="0"/>
        <w:spacing w:line="360" w:lineRule="auto"/>
        <w:ind w:firstLine="482" w:firstLineChars="200"/>
        <w:jc w:val="left"/>
        <w:rPr>
          <w:rFonts w:ascii="Open Sans" w:hAnsi="Open Sans" w:cs="Arial"/>
          <w:kern w:val="0"/>
          <w:sz w:val="24"/>
          <w:szCs w:val="24"/>
        </w:rPr>
      </w:pPr>
      <w:r>
        <w:rPr>
          <w:rFonts w:hint="eastAsia" w:ascii="宋体" w:hAnsi="宋体" w:cs="Arial"/>
          <w:b/>
          <w:bCs/>
          <w:kern w:val="0"/>
          <w:sz w:val="24"/>
          <w:szCs w:val="24"/>
        </w:rPr>
        <w:t>六、竞争性磋商公告期限</w:t>
      </w:r>
    </w:p>
    <w:p>
      <w:pPr>
        <w:widowControl/>
        <w:shd w:val="clear" w:color="auto" w:fill="FFFFFF"/>
        <w:snapToGrid w:val="0"/>
        <w:spacing w:line="360" w:lineRule="auto"/>
        <w:ind w:firstLine="480" w:firstLineChars="200"/>
        <w:jc w:val="left"/>
        <w:rPr>
          <w:rFonts w:ascii="宋体" w:hAnsi="宋体" w:cs="Arial"/>
          <w:kern w:val="0"/>
          <w:sz w:val="24"/>
          <w:szCs w:val="24"/>
        </w:rPr>
      </w:pPr>
      <w:r>
        <w:rPr>
          <w:rFonts w:hint="eastAsia" w:ascii="宋体" w:hAnsi="宋体" w:cs="Arial"/>
          <w:kern w:val="0"/>
          <w:sz w:val="24"/>
          <w:szCs w:val="24"/>
        </w:rPr>
        <w:t>自本公告发布之日起3个工作日。</w:t>
      </w:r>
    </w:p>
    <w:p>
      <w:pPr>
        <w:snapToGrid w:val="0"/>
        <w:spacing w:line="360" w:lineRule="auto"/>
        <w:ind w:firstLine="482" w:firstLineChars="200"/>
        <w:outlineLvl w:val="1"/>
        <w:rPr>
          <w:rFonts w:ascii="Open Sans" w:hAnsi="Open Sans" w:cs="Arial"/>
          <w:kern w:val="0"/>
          <w:sz w:val="24"/>
          <w:szCs w:val="24"/>
        </w:rPr>
      </w:pPr>
      <w:r>
        <w:rPr>
          <w:rFonts w:hint="eastAsia" w:ascii="宋体" w:hAnsi="宋体" w:cs="宋体"/>
          <w:b/>
          <w:color w:val="000000"/>
          <w:sz w:val="24"/>
        </w:rPr>
        <w:t>七、</w:t>
      </w:r>
      <w:r>
        <w:rPr>
          <w:rFonts w:hint="eastAsia" w:ascii="宋体" w:hAnsi="宋体" w:cs="Arial"/>
          <w:b/>
          <w:bCs/>
          <w:kern w:val="0"/>
          <w:sz w:val="24"/>
          <w:szCs w:val="24"/>
        </w:rPr>
        <w:t>其他补充事宜</w:t>
      </w:r>
    </w:p>
    <w:p>
      <w:pPr>
        <w:shd w:val="clear" w:color="auto" w:fill="FFFFFF"/>
        <w:snapToGrid w:val="0"/>
        <w:spacing w:line="360" w:lineRule="auto"/>
        <w:ind w:firstLine="482"/>
        <w:jc w:val="left"/>
        <w:rPr>
          <w:rFonts w:ascii="Open Sans" w:hAnsi="Open Sans" w:cs="Arial"/>
          <w:kern w:val="0"/>
          <w:sz w:val="24"/>
          <w:szCs w:val="24"/>
        </w:rPr>
      </w:pPr>
      <w:r>
        <w:rPr>
          <w:rFonts w:hint="eastAsia" w:ascii="宋体" w:hAnsi="宋体" w:cs="Arial"/>
          <w:b/>
          <w:bCs/>
          <w:kern w:val="0"/>
          <w:sz w:val="24"/>
          <w:szCs w:val="24"/>
        </w:rPr>
        <w:t>参与本项目竞争性磋商的响应供应商，应依照规定提交各类声明函、承诺函（如涉有），不再同时提供原件备案或提供有关部门出具的相关证明文件（如有其他要求的，从其要求），但</w:t>
      </w:r>
      <w:r>
        <w:rPr>
          <w:rFonts w:hint="eastAsia" w:ascii="宋体" w:hAnsi="宋体" w:cs="Arial"/>
          <w:b/>
          <w:kern w:val="0"/>
          <w:sz w:val="24"/>
          <w:szCs w:val="24"/>
        </w:rPr>
        <w:t>本项目的成交供应商，应做好提交声明函、承诺函相应原</w:t>
      </w:r>
      <w:r>
        <w:rPr>
          <w:rFonts w:hint="eastAsia" w:ascii="宋体" w:hAnsi="宋体" w:cs="Arial"/>
          <w:b/>
          <w:bCs/>
          <w:kern w:val="0"/>
          <w:sz w:val="24"/>
          <w:szCs w:val="24"/>
        </w:rPr>
        <w:t>件的核查准备；核查后发现虚假或违背承诺的，将依照相关法律法规规定处理。</w:t>
      </w:r>
    </w:p>
    <w:p>
      <w:pPr>
        <w:widowControl/>
        <w:shd w:val="clear" w:color="auto" w:fill="FFFFFF"/>
        <w:snapToGrid w:val="0"/>
        <w:spacing w:line="360" w:lineRule="auto"/>
        <w:ind w:firstLine="482" w:firstLineChars="200"/>
        <w:jc w:val="left"/>
        <w:rPr>
          <w:rFonts w:ascii="Open Sans" w:hAnsi="Open Sans" w:cs="Arial"/>
          <w:kern w:val="0"/>
          <w:sz w:val="24"/>
          <w:szCs w:val="24"/>
        </w:rPr>
      </w:pPr>
      <w:r>
        <w:rPr>
          <w:rFonts w:hint="eastAsia" w:ascii="宋体" w:hAnsi="宋体" w:cs="Arial"/>
          <w:b/>
          <w:bCs/>
          <w:kern w:val="0"/>
          <w:sz w:val="24"/>
          <w:szCs w:val="24"/>
        </w:rPr>
        <w:t>八、凡对本次采购提出询问，请按以下方式联系：</w:t>
      </w:r>
    </w:p>
    <w:p>
      <w:pPr>
        <w:widowControl/>
        <w:shd w:val="clear" w:color="auto" w:fill="FFFFFF"/>
        <w:snapToGrid w:val="0"/>
        <w:spacing w:line="360" w:lineRule="auto"/>
        <w:ind w:firstLine="480" w:firstLineChars="200"/>
        <w:jc w:val="left"/>
        <w:rPr>
          <w:rFonts w:ascii="Open Sans" w:hAnsi="Open Sans" w:cs="Arial"/>
          <w:kern w:val="0"/>
          <w:sz w:val="24"/>
          <w:szCs w:val="24"/>
        </w:rPr>
      </w:pPr>
      <w:r>
        <w:rPr>
          <w:rFonts w:hint="eastAsia" w:ascii="宋体" w:hAnsi="宋体" w:cs="Arial"/>
          <w:kern w:val="0"/>
          <w:sz w:val="24"/>
          <w:szCs w:val="24"/>
        </w:rPr>
        <w:t>1.采购人信息</w:t>
      </w:r>
    </w:p>
    <w:p>
      <w:pPr>
        <w:widowControl/>
        <w:shd w:val="clear" w:color="auto" w:fill="FFFFFF"/>
        <w:snapToGrid w:val="0"/>
        <w:spacing w:line="360" w:lineRule="auto"/>
        <w:ind w:firstLine="480" w:firstLineChars="200"/>
        <w:jc w:val="left"/>
        <w:rPr>
          <w:rFonts w:ascii="宋体" w:hAnsi="宋体"/>
          <w:sz w:val="24"/>
          <w:szCs w:val="24"/>
        </w:rPr>
      </w:pPr>
      <w:r>
        <w:rPr>
          <w:rFonts w:hint="eastAsia" w:ascii="宋体" w:hAnsi="宋体"/>
          <w:sz w:val="24"/>
          <w:szCs w:val="24"/>
        </w:rPr>
        <w:t>名    称：南通市妇幼保健院</w:t>
      </w:r>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联 系 人：丛老师</w:t>
      </w:r>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联系电话：0513-59008115</w:t>
      </w:r>
    </w:p>
    <w:p>
      <w:pPr>
        <w:widowControl/>
        <w:snapToGrid w:val="0"/>
        <w:spacing w:line="360" w:lineRule="auto"/>
        <w:ind w:firstLine="480" w:firstLineChars="200"/>
        <w:jc w:val="left"/>
        <w:rPr>
          <w:rFonts w:ascii="Open Sans" w:hAnsi="Open Sans" w:cs="Arial"/>
          <w:kern w:val="0"/>
          <w:sz w:val="24"/>
          <w:szCs w:val="24"/>
        </w:rPr>
      </w:pPr>
      <w:r>
        <w:rPr>
          <w:rFonts w:hint="eastAsia" w:ascii="宋体" w:hAnsi="宋体" w:cs="Arial"/>
          <w:kern w:val="0"/>
          <w:sz w:val="24"/>
          <w:szCs w:val="24"/>
        </w:rPr>
        <w:t>2.采购代理机构信息</w:t>
      </w:r>
    </w:p>
    <w:p>
      <w:pPr>
        <w:widowControl/>
        <w:snapToGrid w:val="0"/>
        <w:spacing w:line="360" w:lineRule="auto"/>
        <w:ind w:firstLine="480" w:firstLineChars="200"/>
        <w:jc w:val="left"/>
        <w:rPr>
          <w:rFonts w:ascii="宋体" w:hAnsi="宋体" w:cs="宋体"/>
          <w:bCs/>
          <w:sz w:val="24"/>
          <w:szCs w:val="24"/>
        </w:rPr>
      </w:pPr>
      <w:r>
        <w:rPr>
          <w:rFonts w:hint="eastAsia" w:ascii="宋体" w:hAnsi="宋体"/>
          <w:sz w:val="24"/>
          <w:szCs w:val="24"/>
        </w:rPr>
        <w:t>名    称：南通万隆工程管理有限公司</w:t>
      </w:r>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地    址：南通市崇川区崇川路58号产业技术研究院9号楼24楼</w:t>
      </w:r>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联 系 人：</w:t>
      </w:r>
      <w:r>
        <w:rPr>
          <w:rFonts w:hint="eastAsia" w:ascii="宋体" w:hAnsi="宋体"/>
          <w:sz w:val="24"/>
          <w:szCs w:val="24"/>
          <w:lang w:val="en-US" w:eastAsia="zh-CN"/>
        </w:rPr>
        <w:t>杜赟</w:t>
      </w:r>
      <w:r>
        <w:rPr>
          <w:rFonts w:hint="eastAsia" w:ascii="宋体" w:hAnsi="宋体"/>
          <w:sz w:val="24"/>
          <w:szCs w:val="24"/>
        </w:rPr>
        <w:t xml:space="preserve">         </w:t>
      </w:r>
    </w:p>
    <w:p>
      <w:pPr>
        <w:widowControl/>
        <w:snapToGrid w:val="0"/>
        <w:spacing w:line="360" w:lineRule="auto"/>
        <w:ind w:firstLine="480" w:firstLineChars="200"/>
        <w:jc w:val="left"/>
        <w:rPr>
          <w:rFonts w:hint="default" w:ascii="宋体" w:hAnsi="宋体" w:eastAsia="宋体" w:cs="宋体"/>
          <w:bCs/>
          <w:sz w:val="24"/>
          <w:szCs w:val="24"/>
          <w:lang w:val="en-US" w:eastAsia="zh-CN"/>
        </w:rPr>
      </w:pPr>
      <w:r>
        <w:rPr>
          <w:rFonts w:hint="eastAsia" w:ascii="宋体" w:hAnsi="宋体"/>
          <w:sz w:val="24"/>
          <w:szCs w:val="24"/>
        </w:rPr>
        <w:t>联系电话：</w:t>
      </w:r>
      <w:r>
        <w:rPr>
          <w:rFonts w:hint="eastAsia" w:ascii="宋体" w:hAnsi="宋体"/>
          <w:sz w:val="24"/>
          <w:szCs w:val="24"/>
          <w:lang w:val="en-US" w:eastAsia="zh-CN"/>
        </w:rPr>
        <w:t>13773640999</w:t>
      </w:r>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252119303</w:t>
      </w:r>
      <w:r>
        <w:rPr>
          <w:rFonts w:hint="eastAsia" w:ascii="宋体" w:hAnsi="宋体"/>
          <w:sz w:val="24"/>
          <w:szCs w:val="24"/>
        </w:rPr>
        <w:t>@qq.com</w:t>
      </w:r>
    </w:p>
    <w:p>
      <w:pPr>
        <w:pStyle w:val="20"/>
        <w:snapToGrid w:val="0"/>
        <w:spacing w:line="360" w:lineRule="auto"/>
        <w:ind w:firstLine="480"/>
        <w:rPr>
          <w:rFonts w:ascii="宋体" w:hAnsi="宋体" w:cs="Arial"/>
          <w:sz w:val="24"/>
          <w:szCs w:val="24"/>
        </w:rPr>
      </w:pPr>
      <w:r>
        <w:rPr>
          <w:rFonts w:hint="eastAsia" w:ascii="宋体" w:hAnsi="宋体" w:cs="Arial"/>
          <w:sz w:val="24"/>
          <w:szCs w:val="24"/>
        </w:rPr>
        <w:t>3.项目联系方式</w:t>
      </w:r>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联 系 人：毕先生</w:t>
      </w:r>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联系电话：0513-59008112</w:t>
      </w:r>
    </w:p>
    <w:p>
      <w:pPr>
        <w:widowControl/>
        <w:shd w:val="clear" w:color="auto" w:fill="FFFFFF"/>
        <w:spacing w:before="100" w:beforeAutospacing="1" w:after="100" w:afterAutospacing="1" w:line="480" w:lineRule="auto"/>
        <w:jc w:val="left"/>
        <w:rPr>
          <w:rFonts w:ascii="Open Sans" w:hAnsi="Open Sans" w:cs="Arial"/>
          <w:kern w:val="0"/>
          <w:sz w:val="24"/>
          <w:szCs w:val="24"/>
        </w:rPr>
      </w:pPr>
    </w:p>
    <w:p>
      <w:pPr>
        <w:widowControl/>
        <w:shd w:val="clear" w:color="auto" w:fill="FFFFFF"/>
        <w:spacing w:line="360" w:lineRule="auto"/>
        <w:ind w:right="1680"/>
        <w:jc w:val="right"/>
        <w:rPr>
          <w:rFonts w:ascii="宋体" w:hAnsi="宋体" w:cs="Arial"/>
          <w:kern w:val="0"/>
          <w:sz w:val="24"/>
          <w:szCs w:val="24"/>
          <w:highlight w:val="yellow"/>
        </w:rPr>
      </w:pPr>
      <w:r>
        <w:rPr>
          <w:rFonts w:hint="eastAsia" w:ascii="宋体" w:hAnsi="宋体" w:cs="Arial"/>
          <w:kern w:val="0"/>
          <w:sz w:val="24"/>
          <w:szCs w:val="24"/>
        </w:rPr>
        <w:t>采 购 人：南通市妇幼保健院</w:t>
      </w:r>
    </w:p>
    <w:p>
      <w:pPr>
        <w:widowControl/>
        <w:shd w:val="clear" w:color="auto" w:fill="FFFFFF"/>
        <w:spacing w:line="360" w:lineRule="auto"/>
        <w:ind w:right="720"/>
        <w:jc w:val="right"/>
        <w:rPr>
          <w:rFonts w:ascii="宋体" w:hAnsi="宋体" w:cs="Arial"/>
          <w:kern w:val="0"/>
          <w:sz w:val="24"/>
          <w:szCs w:val="24"/>
          <w:highlight w:val="yellow"/>
        </w:rPr>
      </w:pPr>
      <w:r>
        <w:rPr>
          <w:rFonts w:hint="eastAsia" w:ascii="宋体" w:hAnsi="宋体" w:cs="Arial"/>
          <w:kern w:val="0"/>
          <w:sz w:val="24"/>
          <w:szCs w:val="24"/>
        </w:rPr>
        <w:t>代理机构：南通万隆工程管理有限公司</w:t>
      </w:r>
    </w:p>
    <w:p>
      <w:pPr>
        <w:widowControl/>
        <w:shd w:val="clear" w:color="auto" w:fill="FFFFFF"/>
        <w:spacing w:line="360" w:lineRule="auto"/>
        <w:ind w:right="1680"/>
        <w:jc w:val="right"/>
        <w:rPr>
          <w:rFonts w:ascii="宋体" w:hAnsi="宋体" w:cs="Arial"/>
          <w:kern w:val="0"/>
          <w:sz w:val="24"/>
          <w:szCs w:val="24"/>
        </w:rPr>
      </w:pPr>
      <w:r>
        <w:rPr>
          <w:rFonts w:hint="eastAsia" w:ascii="宋体" w:hAnsi="宋体" w:cs="Arial"/>
          <w:kern w:val="0"/>
          <w:sz w:val="24"/>
          <w:szCs w:val="24"/>
        </w:rPr>
        <w:t>2022年3月</w:t>
      </w:r>
      <w:r>
        <w:rPr>
          <w:rFonts w:hint="eastAsia" w:ascii="宋体" w:hAnsi="宋体" w:cs="Arial"/>
          <w:kern w:val="0"/>
          <w:sz w:val="24"/>
          <w:szCs w:val="24"/>
          <w:lang w:val="en-US" w:eastAsia="zh-CN"/>
        </w:rPr>
        <w:t>18</w:t>
      </w:r>
      <w:r>
        <w:rPr>
          <w:rFonts w:hint="eastAsia" w:ascii="宋体" w:hAnsi="宋体" w:cs="Arial"/>
          <w:kern w:val="0"/>
          <w:sz w:val="24"/>
          <w:szCs w:val="24"/>
        </w:rPr>
        <w:t>日</w:t>
      </w:r>
    </w:p>
    <w:bookmarkEnd w:id="21"/>
    <w:p>
      <w:pPr>
        <w:snapToGrid w:val="0"/>
        <w:spacing w:before="720" w:beforeLines="300" w:line="360" w:lineRule="auto"/>
        <w:jc w:val="center"/>
        <w:rPr>
          <w:rFonts w:ascii="宋体"/>
          <w:color w:val="000000"/>
          <w:w w:val="80"/>
        </w:rPr>
      </w:pPr>
      <w:r>
        <w:rPr>
          <w:rFonts w:ascii="宋体" w:hAnsi="宋体" w:cs="宋体"/>
          <w:b/>
          <w:bCs/>
          <w:color w:val="000000"/>
          <w:w w:val="80"/>
          <w:sz w:val="24"/>
          <w:szCs w:val="24"/>
        </w:rPr>
        <w:br w:type="page"/>
      </w:r>
      <w:r>
        <w:rPr>
          <w:rFonts w:hint="eastAsia" w:ascii="宋体" w:hAnsi="宋体" w:cs="宋体"/>
          <w:b/>
          <w:bCs/>
          <w:color w:val="000000"/>
          <w:w w:val="80"/>
          <w:sz w:val="44"/>
          <w:szCs w:val="44"/>
        </w:rPr>
        <w:t>第二章</w:t>
      </w:r>
      <w:bookmarkEnd w:id="10"/>
      <w:bookmarkEnd w:id="11"/>
      <w:bookmarkEnd w:id="12"/>
      <w:bookmarkEnd w:id="13"/>
      <w:bookmarkEnd w:id="14"/>
      <w:bookmarkEnd w:id="15"/>
      <w:bookmarkEnd w:id="16"/>
      <w:bookmarkEnd w:id="17"/>
      <w:bookmarkEnd w:id="18"/>
      <w:bookmarkEnd w:id="19"/>
      <w:r>
        <w:rPr>
          <w:rFonts w:hint="eastAsia" w:ascii="宋体" w:hAnsi="宋体" w:cs="宋体"/>
          <w:b/>
          <w:bCs/>
          <w:color w:val="000000"/>
          <w:w w:val="80"/>
          <w:sz w:val="44"/>
          <w:szCs w:val="44"/>
        </w:rPr>
        <w:t xml:space="preserve">  磋商供应商须知</w:t>
      </w:r>
      <w:bookmarkEnd w:id="20"/>
    </w:p>
    <w:p>
      <w:pPr>
        <w:snapToGrid w:val="0"/>
        <w:spacing w:line="360" w:lineRule="auto"/>
        <w:ind w:firstLine="482" w:firstLineChars="200"/>
        <w:outlineLvl w:val="1"/>
        <w:rPr>
          <w:rFonts w:ascii="宋体"/>
          <w:b/>
          <w:bCs/>
          <w:color w:val="000000"/>
          <w:sz w:val="24"/>
          <w:szCs w:val="24"/>
        </w:rPr>
      </w:pPr>
      <w:bookmarkStart w:id="23" w:name="_Toc11499585"/>
      <w:bookmarkStart w:id="24" w:name="_Toc8895740"/>
      <w:bookmarkStart w:id="25" w:name="_Toc12670504"/>
      <w:bookmarkStart w:id="26" w:name="_Toc11554640"/>
      <w:bookmarkStart w:id="27" w:name="_Toc521203419"/>
      <w:bookmarkStart w:id="28" w:name="_Toc521201598"/>
      <w:bookmarkStart w:id="29" w:name="_Toc94544745"/>
      <w:bookmarkStart w:id="30" w:name="_Toc94585341"/>
      <w:bookmarkStart w:id="31" w:name="_Toc11500281"/>
      <w:bookmarkStart w:id="32" w:name="_Toc94544871"/>
      <w:r>
        <w:rPr>
          <w:rFonts w:hint="eastAsia" w:ascii="宋体" w:hAnsi="宋体" w:cs="宋体"/>
          <w:b/>
          <w:bCs/>
          <w:color w:val="000000"/>
          <w:sz w:val="24"/>
          <w:szCs w:val="24"/>
        </w:rPr>
        <w:t>一、说明</w:t>
      </w:r>
    </w:p>
    <w:p>
      <w:pPr>
        <w:snapToGrid w:val="0"/>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、本磋商文件仅适用于</w:t>
      </w:r>
      <w:r>
        <w:rPr>
          <w:rFonts w:hint="eastAsia" w:ascii="宋体" w:hAnsi="宋体" w:cs="宋体"/>
          <w:color w:val="000000"/>
          <w:sz w:val="24"/>
          <w:szCs w:val="24"/>
          <w:lang w:val="en-US" w:eastAsia="zh-CN"/>
        </w:rPr>
        <w:t>南通万隆工程管理有限公司</w:t>
      </w:r>
      <w:r>
        <w:rPr>
          <w:rFonts w:hint="eastAsia" w:ascii="宋体" w:hAnsi="宋体" w:cs="宋体"/>
          <w:color w:val="000000"/>
          <w:sz w:val="24"/>
          <w:szCs w:val="24"/>
        </w:rPr>
        <w:t>组织的竞争性磋商采购活动。</w:t>
      </w:r>
    </w:p>
    <w:p>
      <w:pPr>
        <w:snapToGrid w:val="0"/>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、竞争性磋商活动及因本次磋商产生的合同受中国法律制约和保护。</w:t>
      </w:r>
    </w:p>
    <w:p>
      <w:pPr>
        <w:snapToGrid w:val="0"/>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、磋商文件的解释权属于采购人。</w:t>
      </w:r>
    </w:p>
    <w:p>
      <w:pPr>
        <w:snapToGrid w:val="0"/>
        <w:spacing w:line="360" w:lineRule="auto"/>
        <w:ind w:firstLine="480" w:firstLineChars="200"/>
        <w:rPr>
          <w:rFonts w:ascii="宋体"/>
          <w:color w:val="FF00FF"/>
          <w:sz w:val="24"/>
          <w:szCs w:val="24"/>
        </w:rPr>
      </w:pPr>
      <w:r>
        <w:rPr>
          <w:rFonts w:ascii="宋体" w:hAnsi="宋体" w:cs="宋体"/>
          <w:color w:val="000000"/>
          <w:sz w:val="24"/>
          <w:szCs w:val="24"/>
        </w:rPr>
        <w:t>4</w:t>
      </w:r>
      <w:r>
        <w:rPr>
          <w:rFonts w:hint="eastAsia" w:ascii="宋体" w:hAnsi="宋体" w:cs="宋体"/>
          <w:color w:val="000000"/>
          <w:sz w:val="24"/>
          <w:szCs w:val="24"/>
        </w:rPr>
        <w:t>、</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日内，以书面形式向代理机构（邮箱：</w:t>
      </w:r>
      <w:r>
        <w:rPr>
          <w:rFonts w:hint="eastAsia" w:ascii="宋体" w:hAnsi="宋体" w:cs="宋体"/>
          <w:sz w:val="24"/>
          <w:szCs w:val="24"/>
          <w:lang w:val="en-US" w:eastAsia="zh-CN"/>
        </w:rPr>
        <w:t>252119303</w:t>
      </w:r>
      <w:r>
        <w:rPr>
          <w:rFonts w:hint="eastAsia" w:ascii="宋体" w:hAnsi="宋体" w:cs="宋体"/>
          <w:sz w:val="24"/>
          <w:szCs w:val="24"/>
        </w:rPr>
        <w:t>@qq.com</w:t>
      </w:r>
      <w:r>
        <w:rPr>
          <w:rFonts w:ascii="宋体" w:hAnsi="宋体" w:cs="宋体"/>
          <w:sz w:val="24"/>
          <w:szCs w:val="24"/>
        </w:rPr>
        <w:t>）</w:t>
      </w:r>
      <w:r>
        <w:rPr>
          <w:rFonts w:hint="eastAsia" w:ascii="宋体" w:hAnsi="宋体" w:cs="宋体"/>
          <w:sz w:val="24"/>
          <w:szCs w:val="24"/>
        </w:rPr>
        <w:t>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360" w:lineRule="auto"/>
        <w:ind w:firstLine="480" w:firstLineChars="200"/>
        <w:rPr>
          <w:rFonts w:ascii="宋体" w:hAns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sz w:val="24"/>
          <w:szCs w:val="24"/>
        </w:rPr>
      </w:pPr>
      <w:r>
        <w:rPr>
          <w:sz w:val="24"/>
          <w:szCs w:val="24"/>
        </w:rPr>
        <w:t>6</w:t>
      </w:r>
      <w:r>
        <w:rPr>
          <w:rFonts w:hint="eastAsia"/>
          <w:sz w:val="24"/>
          <w:szCs w:val="24"/>
        </w:rPr>
        <w:t>、</w:t>
      </w:r>
      <w:r>
        <w:rPr>
          <w:rFonts w:hint="eastAsia" w:cs="宋体"/>
          <w:sz w:val="24"/>
          <w:szCs w:val="24"/>
        </w:rPr>
        <w:t>磋商文件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采购人的需要。</w:t>
      </w:r>
    </w:p>
    <w:p>
      <w:pPr>
        <w:pStyle w:val="2"/>
        <w:snapToGrid w:val="0"/>
        <w:spacing w:after="0" w:line="360" w:lineRule="auto"/>
        <w:ind w:firstLine="480"/>
        <w:rPr>
          <w:rFonts w:cs="宋体"/>
          <w:sz w:val="24"/>
          <w:szCs w:val="24"/>
        </w:rPr>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pPr>
        <w:pStyle w:val="2"/>
        <w:snapToGrid w:val="0"/>
        <w:spacing w:after="0" w:line="360" w:lineRule="auto"/>
        <w:ind w:firstLine="482"/>
      </w:pPr>
      <w:r>
        <w:rPr>
          <w:rFonts w:hint="eastAsia" w:ascii="宋体" w:hAnsi="宋体" w:cs="宋体"/>
          <w:b/>
          <w:bCs/>
          <w:color w:val="000000"/>
          <w:sz w:val="24"/>
          <w:szCs w:val="24"/>
        </w:rPr>
        <w:t>二、磋商文件的澄清、修改、答疑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w:t>
      </w:r>
      <w:r>
        <w:rPr>
          <w:rFonts w:hint="eastAsia" w:ascii="宋体" w:hAnsi="宋体" w:cs="宋体"/>
          <w:sz w:val="24"/>
          <w:szCs w:val="24"/>
          <w:u w:val="single"/>
        </w:rPr>
        <w:t>南通市卫生健康委员会官网（http://wjw.nantong.gov.cn）和南通市妇幼保健院官网（http://www.ntfybj.com）</w:t>
      </w:r>
      <w:r>
        <w:rPr>
          <w:rFonts w:hint="eastAsia" w:ascii="宋体" w:hAnsi="宋体" w:cs="宋体"/>
          <w:sz w:val="24"/>
          <w:szCs w:val="24"/>
        </w:rPr>
        <w:t>发布的信息为准。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、采购人不组织答疑会。如有产生答疑且对磋商文件内容有修改，代理机构将按照本须知有关规定，以补充通知（公告）的方式发出。</w:t>
      </w:r>
    </w:p>
    <w:p>
      <w:pPr>
        <w:snapToGrid w:val="0"/>
        <w:spacing w:line="360" w:lineRule="auto"/>
        <w:ind w:firstLine="482" w:firstLineChars="200"/>
        <w:rPr>
          <w:rFonts w:ascii="宋体"/>
          <w:b/>
          <w:bCs/>
          <w:color w:val="000000"/>
          <w:sz w:val="24"/>
          <w:szCs w:val="24"/>
        </w:rPr>
      </w:pPr>
      <w:r>
        <w:rPr>
          <w:rFonts w:hint="eastAsia" w:cs="宋体"/>
          <w:b/>
          <w:bCs/>
          <w:sz w:val="24"/>
          <w:szCs w:val="24"/>
        </w:rPr>
        <w:t>三、</w:t>
      </w:r>
      <w:r>
        <w:rPr>
          <w:rFonts w:hint="eastAsia" w:ascii="宋体" w:hAnsi="宋体" w:cs="宋体"/>
          <w:b/>
          <w:bCs/>
          <w:color w:val="000000"/>
          <w:sz w:val="24"/>
          <w:szCs w:val="24"/>
        </w:rPr>
        <w:t>响应文件的编制及装订</w:t>
      </w:r>
    </w:p>
    <w:p>
      <w:pPr>
        <w:snapToGrid w:val="0"/>
        <w:spacing w:line="360" w:lineRule="auto"/>
        <w:ind w:firstLine="487" w:firstLineChars="202"/>
        <w:rPr>
          <w:rFonts w:ascii="宋体"/>
          <w:b/>
          <w:bCs/>
          <w:color w:val="000000"/>
          <w:sz w:val="24"/>
          <w:szCs w:val="24"/>
        </w:rPr>
      </w:pPr>
      <w:r>
        <w:rPr>
          <w:rFonts w:hint="eastAsia" w:ascii="宋体" w:hAnsi="宋体" w:cs="宋体"/>
          <w:b/>
          <w:bCs/>
          <w:color w:val="000000"/>
          <w:sz w:val="24"/>
          <w:szCs w:val="24"/>
        </w:rPr>
        <w:t>供应</w:t>
      </w:r>
      <w:r>
        <w:rPr>
          <w:rFonts w:hint="eastAsia" w:ascii="宋体" w:hAnsi="宋体" w:cs="宋体"/>
          <w:b/>
          <w:bCs/>
          <w:sz w:val="24"/>
          <w:szCs w:val="24"/>
        </w:rPr>
        <w:t>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w:t>
      </w:r>
      <w:r>
        <w:rPr>
          <w:rFonts w:hint="eastAsia" w:ascii="宋体" w:hAnsi="宋体" w:cs="宋体"/>
          <w:b/>
          <w:bCs/>
          <w:color w:val="000000"/>
          <w:sz w:val="24"/>
          <w:szCs w:val="24"/>
        </w:rPr>
        <w:t>盖公章。</w:t>
      </w:r>
    </w:p>
    <w:p>
      <w:pPr>
        <w:snapToGrid w:val="0"/>
        <w:spacing w:line="360" w:lineRule="auto"/>
        <w:ind w:firstLine="482" w:firstLineChars="200"/>
        <w:outlineLvl w:val="1"/>
        <w:rPr>
          <w:rFonts w:ascii="宋体"/>
          <w:b/>
          <w:bCs/>
          <w:color w:val="000000"/>
          <w:sz w:val="24"/>
          <w:szCs w:val="24"/>
        </w:rPr>
      </w:pPr>
      <w:r>
        <w:rPr>
          <w:rFonts w:hint="eastAsia" w:ascii="宋体" w:hAnsi="宋体" w:cs="宋体"/>
          <w:b/>
          <w:bCs/>
          <w:color w:val="000000"/>
          <w:sz w:val="24"/>
          <w:szCs w:val="24"/>
        </w:rPr>
        <w:t>四、响应文件的份数和签署</w:t>
      </w:r>
    </w:p>
    <w:p>
      <w:pPr>
        <w:snapToGrid w:val="0"/>
        <w:spacing w:line="360" w:lineRule="auto"/>
        <w:ind w:firstLine="484" w:firstLineChars="202"/>
        <w:textAlignment w:val="baseline"/>
        <w:rPr>
          <w:rFonts w:ascii="宋体"/>
          <w:sz w:val="24"/>
          <w:szCs w:val="24"/>
        </w:rPr>
      </w:pPr>
      <w:r>
        <w:rPr>
          <w:rFonts w:ascii="宋体" w:hAnsi="宋体" w:cs="宋体"/>
          <w:sz w:val="24"/>
          <w:szCs w:val="24"/>
        </w:rPr>
        <w:t>1</w:t>
      </w:r>
      <w:r>
        <w:rPr>
          <w:rFonts w:hint="eastAsia" w:ascii="宋体" w:hAnsi="宋体" w:cs="宋体"/>
          <w:sz w:val="24"/>
          <w:szCs w:val="24"/>
        </w:rPr>
        <w:t>、响应文件由：</w:t>
      </w:r>
      <w:r>
        <w:fldChar w:fldCharType="begin"/>
      </w:r>
      <w:r>
        <w:instrText xml:space="preserve"> = 1 \* GB3 </w:instrText>
      </w:r>
      <w:r>
        <w:fldChar w:fldCharType="separate"/>
      </w:r>
      <w:r>
        <w:rPr>
          <w:rFonts w:hint="eastAsia" w:ascii="宋体" w:hAnsi="宋体" w:cs="宋体"/>
          <w:sz w:val="24"/>
          <w:szCs w:val="24"/>
        </w:rPr>
        <w:t>①</w:t>
      </w:r>
      <w:r>
        <w:fldChar w:fldCharType="end"/>
      </w:r>
      <w:r>
        <w:rPr>
          <w:rFonts w:hint="eastAsia" w:ascii="宋体" w:hAnsi="宋体" w:cs="宋体"/>
          <w:sz w:val="24"/>
          <w:szCs w:val="24"/>
        </w:rPr>
        <w:t>资格审查文件、</w:t>
      </w:r>
      <w:r>
        <w:fldChar w:fldCharType="begin"/>
      </w:r>
      <w:r>
        <w:instrText xml:space="preserve"> = 2 \* GB3 </w:instrText>
      </w:r>
      <w:r>
        <w:fldChar w:fldCharType="separate"/>
      </w:r>
      <w:r>
        <w:rPr>
          <w:rFonts w:hint="eastAsia" w:ascii="宋体" w:hAnsi="宋体" w:cs="宋体"/>
          <w:sz w:val="24"/>
          <w:szCs w:val="24"/>
        </w:rPr>
        <w:t>②</w:t>
      </w:r>
      <w:r>
        <w:fldChar w:fldCharType="end"/>
      </w:r>
      <w:r>
        <w:rPr>
          <w:rFonts w:hint="eastAsia" w:ascii="宋体" w:hAnsi="宋体" w:cs="宋体"/>
          <w:sz w:val="24"/>
          <w:szCs w:val="24"/>
        </w:rPr>
        <w:t>技术响应文件、</w:t>
      </w:r>
      <w:r>
        <w:fldChar w:fldCharType="begin"/>
      </w:r>
      <w:r>
        <w:instrText xml:space="preserve"> = 3 \* GB3 </w:instrText>
      </w:r>
      <w:r>
        <w:fldChar w:fldCharType="separate"/>
      </w:r>
      <w:r>
        <w:rPr>
          <w:rFonts w:hint="eastAsia" w:ascii="宋体" w:hAnsi="宋体" w:cs="宋体"/>
          <w:sz w:val="24"/>
          <w:szCs w:val="24"/>
        </w:rPr>
        <w:t>③</w:t>
      </w:r>
      <w:r>
        <w:fldChar w:fldCharType="end"/>
      </w:r>
      <w:r>
        <w:rPr>
          <w:rFonts w:hint="eastAsia" w:ascii="宋体" w:hAnsi="宋体" w:cs="宋体"/>
          <w:sz w:val="24"/>
          <w:szCs w:val="24"/>
        </w:rPr>
        <w:t>商务报价响应文件，共3部分组成。</w:t>
      </w:r>
      <w:r>
        <w:rPr>
          <w:rFonts w:hint="eastAsia" w:ascii="宋体" w:hAnsi="宋体" w:cs="宋体"/>
          <w:b/>
          <w:bCs/>
          <w:color w:val="000000"/>
          <w:sz w:val="24"/>
          <w:szCs w:val="24"/>
        </w:rPr>
        <w:t>其中资格审查文件、技术响应文件、商务报价响应文件须分别密封。</w:t>
      </w:r>
      <w:r>
        <w:rPr>
          <w:rFonts w:hint="eastAsia" w:ascii="宋体" w:hAnsi="宋体"/>
          <w:b/>
          <w:sz w:val="24"/>
        </w:rPr>
        <w:t>特别提示：“商务报价响应文件”必须单独装订和封装，不得出现在“资格审查文件”和“技术响应文件”之中。</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、在每份响应文件上要明确标注项目名称、项目编号、对应的响应文件名称、供应商的全称、日期、“正本”、“副本”字样。“正本”和“副本”若有差异，概以“正本”为准。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五、响应文件的密封及标记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、③分别</w:t>
      </w:r>
      <w:r>
        <w:rPr>
          <w:rFonts w:hint="eastAsia" w:ascii="宋体" w:hAnsi="宋体" w:cs="宋体"/>
          <w:b/>
          <w:bCs/>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、密封后，应在每一密封的响应文件上明确标注项目名称、项目编号、响应文件各自对应的名称、供应商的全称及日期。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textAlignment w:val="baseline"/>
        <w:rPr>
          <w:rFonts w:ascii="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color w:val="000000"/>
          <w:sz w:val="24"/>
          <w:szCs w:val="24"/>
        </w:rPr>
      </w:pPr>
      <w:r>
        <w:rPr>
          <w:rFonts w:hint="eastAsia" w:ascii="宋体" w:hAnsi="宋体" w:cs="宋体"/>
          <w:b/>
          <w:bCs/>
          <w:color w:val="000000"/>
          <w:sz w:val="24"/>
          <w:szCs w:val="24"/>
        </w:rPr>
        <w:t>六、磋商响应报价</w:t>
      </w:r>
    </w:p>
    <w:p>
      <w:pPr>
        <w:snapToGrid w:val="0"/>
        <w:spacing w:line="360" w:lineRule="auto"/>
        <w:ind w:firstLine="494" w:firstLineChars="206"/>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、本项目不接受任何有选择的报价。</w:t>
      </w:r>
    </w:p>
    <w:p>
      <w:pPr>
        <w:snapToGrid w:val="0"/>
        <w:spacing w:line="360" w:lineRule="auto"/>
        <w:ind w:firstLine="494" w:firstLineChars="206"/>
        <w:rPr>
          <w:rFonts w:ascii="宋体" w:hAnsi="宋体" w:cs="宋体"/>
          <w:snapToGrid w:val="0"/>
          <w:sz w:val="24"/>
          <w:szCs w:val="24"/>
        </w:rPr>
      </w:pPr>
      <w:r>
        <w:rPr>
          <w:rFonts w:ascii="宋体" w:hAnsi="宋体" w:cs="宋体"/>
          <w:color w:val="000000"/>
          <w:sz w:val="24"/>
          <w:szCs w:val="24"/>
        </w:rPr>
        <w:t>2</w:t>
      </w:r>
      <w:r>
        <w:rPr>
          <w:rFonts w:hint="eastAsia" w:ascii="宋体" w:hAnsi="宋体" w:cs="宋体"/>
          <w:color w:val="000000"/>
          <w:sz w:val="24"/>
          <w:szCs w:val="24"/>
        </w:rPr>
        <w:t>、</w:t>
      </w:r>
      <w:r>
        <w:rPr>
          <w:rFonts w:hint="eastAsia" w:ascii="宋体" w:hAnsi="宋体" w:cs="宋体"/>
          <w:sz w:val="24"/>
          <w:szCs w:val="24"/>
        </w:rPr>
        <w:t>磋商报价</w:t>
      </w:r>
      <w:r>
        <w:rPr>
          <w:rFonts w:hint="eastAsia" w:ascii="宋体" w:hAnsi="宋体" w:cs="宋体"/>
          <w:snapToGrid w:val="0"/>
          <w:sz w:val="24"/>
          <w:szCs w:val="24"/>
        </w:rPr>
        <w:t>均须以人民币为币种。</w:t>
      </w:r>
    </w:p>
    <w:p>
      <w:pPr>
        <w:snapToGrid w:val="0"/>
        <w:spacing w:line="360" w:lineRule="auto"/>
        <w:ind w:firstLine="494" w:firstLineChars="206"/>
        <w:rPr>
          <w:rFonts w:ascii="宋体" w:hAnsi="宋体" w:cs="宋体"/>
          <w:sz w:val="24"/>
          <w:szCs w:val="24"/>
        </w:rPr>
      </w:pPr>
      <w:r>
        <w:rPr>
          <w:rFonts w:ascii="宋体" w:hAnsi="宋体" w:cs="宋体"/>
          <w:color w:val="000000"/>
          <w:sz w:val="24"/>
          <w:szCs w:val="24"/>
        </w:rPr>
        <w:t>3</w:t>
      </w:r>
      <w:r>
        <w:rPr>
          <w:rFonts w:hint="eastAsia" w:ascii="宋体" w:hAnsi="宋体" w:cs="宋体"/>
          <w:color w:val="000000"/>
          <w:sz w:val="24"/>
          <w:szCs w:val="24"/>
        </w:rPr>
        <w:t>、</w:t>
      </w:r>
      <w:r>
        <w:rPr>
          <w:rFonts w:hint="eastAsia" w:ascii="宋体" w:hAnsi="宋体" w:cs="宋体"/>
          <w:sz w:val="24"/>
          <w:szCs w:val="24"/>
        </w:rPr>
        <w:t>磋商响应报价表必须加盖单位公章且必须经法定代表人或被授权人签字或盖章。报价表中的报价</w:t>
      </w:r>
      <w:r>
        <w:rPr>
          <w:rFonts w:ascii="Arial" w:hAnsi="Arial" w:cs="Arial"/>
          <w:kern w:val="0"/>
          <w:sz w:val="24"/>
          <w:szCs w:val="24"/>
        </w:rPr>
        <w:t>出现前后不一致的，</w:t>
      </w:r>
      <w:r>
        <w:rPr>
          <w:rFonts w:hint="eastAsia" w:ascii="宋体" w:hAnsi="宋体" w:cs="宋体"/>
          <w:sz w:val="24"/>
          <w:szCs w:val="24"/>
        </w:rPr>
        <w:t>将执行财政部第</w:t>
      </w:r>
      <w:r>
        <w:rPr>
          <w:rFonts w:ascii="宋体" w:hAnsi="宋体" w:cs="宋体"/>
          <w:sz w:val="24"/>
          <w:szCs w:val="24"/>
        </w:rPr>
        <w:t>87</w:t>
      </w:r>
      <w:r>
        <w:rPr>
          <w:rFonts w:hint="eastAsia" w:ascii="宋体" w:hAnsi="宋体" w:cs="宋体"/>
          <w:sz w:val="24"/>
          <w:szCs w:val="24"/>
        </w:rPr>
        <w:t>号令《政府采购货物和服务招标投标管理办法》第</w:t>
      </w:r>
      <w:r>
        <w:rPr>
          <w:rFonts w:ascii="宋体" w:hAnsi="宋体" w:cs="宋体"/>
          <w:sz w:val="24"/>
          <w:szCs w:val="24"/>
        </w:rPr>
        <w:t>59</w:t>
      </w:r>
      <w:r>
        <w:rPr>
          <w:rFonts w:hint="eastAsia" w:ascii="宋体" w:hAnsi="宋体" w:cs="宋体"/>
          <w:sz w:val="24"/>
          <w:szCs w:val="24"/>
        </w:rPr>
        <w:t>条的规定修正：</w:t>
      </w:r>
    </w:p>
    <w:p>
      <w:pPr>
        <w:pStyle w:val="2"/>
        <w:snapToGrid w:val="0"/>
        <w:spacing w:after="0" w:line="360" w:lineRule="auto"/>
        <w:ind w:firstLine="480"/>
        <w:rPr>
          <w:rFonts w:ascii="宋体" w:hAnsi="宋体" w:cs="宋体"/>
          <w:sz w:val="24"/>
          <w:szCs w:val="24"/>
        </w:rPr>
      </w:pPr>
      <w:r>
        <w:rPr>
          <w:rFonts w:hint="eastAsia" w:ascii="宋体" w:hAnsi="宋体" w:cs="宋体"/>
          <w:sz w:val="24"/>
          <w:szCs w:val="24"/>
        </w:rPr>
        <w:t xml:space="preserve">3.1 </w:t>
      </w:r>
      <w:r>
        <w:rPr>
          <w:rFonts w:ascii="宋体" w:hAnsi="宋体" w:cs="宋体"/>
          <w:sz w:val="24"/>
          <w:szCs w:val="24"/>
        </w:rPr>
        <w:t>开标一览表（报价表）内容与</w:t>
      </w:r>
      <w:r>
        <w:rPr>
          <w:rFonts w:hint="eastAsia" w:ascii="宋体" w:hAnsi="宋体" w:cs="宋体"/>
          <w:sz w:val="24"/>
          <w:szCs w:val="24"/>
        </w:rPr>
        <w:t>磋商</w:t>
      </w:r>
      <w:r>
        <w:rPr>
          <w:rFonts w:ascii="宋体" w:hAnsi="宋体" w:cs="宋体"/>
          <w:sz w:val="24"/>
          <w:szCs w:val="24"/>
        </w:rPr>
        <w:t>响应文件中相应内容不一致的，以开标一览表（报价表）为准；</w:t>
      </w:r>
    </w:p>
    <w:p>
      <w:pPr>
        <w:widowControl/>
        <w:snapToGrid w:val="0"/>
        <w:spacing w:line="360" w:lineRule="auto"/>
        <w:rPr>
          <w:rFonts w:ascii="宋体" w:hAnsi="宋体" w:cs="宋体"/>
          <w:sz w:val="24"/>
          <w:szCs w:val="24"/>
        </w:rPr>
      </w:pPr>
      <w:r>
        <w:rPr>
          <w:rFonts w:ascii="宋体" w:hAnsi="宋体" w:cs="宋体"/>
          <w:sz w:val="24"/>
          <w:szCs w:val="24"/>
        </w:rPr>
        <w:t>　　</w:t>
      </w:r>
      <w:r>
        <w:rPr>
          <w:rFonts w:hint="eastAsia" w:ascii="宋体" w:hAnsi="宋体" w:cs="宋体"/>
          <w:sz w:val="24"/>
          <w:szCs w:val="24"/>
        </w:rPr>
        <w:t xml:space="preserve">3.2 </w:t>
      </w:r>
      <w:r>
        <w:rPr>
          <w:rFonts w:ascii="宋体" w:hAnsi="宋体" w:cs="宋体"/>
          <w:sz w:val="24"/>
          <w:szCs w:val="24"/>
        </w:rPr>
        <w:t>大写金额和小写金额不一致的，以大写金额为准；</w:t>
      </w:r>
    </w:p>
    <w:p>
      <w:pPr>
        <w:widowControl/>
        <w:snapToGrid w:val="0"/>
        <w:spacing w:line="360" w:lineRule="auto"/>
        <w:rPr>
          <w:rFonts w:ascii="宋体" w:hAnsi="宋体" w:cs="宋体"/>
          <w:sz w:val="24"/>
          <w:szCs w:val="24"/>
        </w:rPr>
      </w:pPr>
      <w:r>
        <w:rPr>
          <w:rFonts w:ascii="宋体" w:hAnsi="宋体" w:cs="宋体"/>
          <w:sz w:val="24"/>
          <w:szCs w:val="24"/>
        </w:rPr>
        <w:t>　　</w:t>
      </w:r>
      <w:r>
        <w:rPr>
          <w:rFonts w:hint="eastAsia" w:ascii="宋体" w:hAnsi="宋体" w:cs="宋体"/>
          <w:sz w:val="24"/>
          <w:szCs w:val="24"/>
        </w:rPr>
        <w:t xml:space="preserve">3.3 </w:t>
      </w:r>
      <w:r>
        <w:rPr>
          <w:rFonts w:ascii="宋体" w:hAnsi="宋体" w:cs="宋体"/>
          <w:sz w:val="24"/>
          <w:szCs w:val="24"/>
        </w:rPr>
        <w:t>单价金额小数点或者百分比有明显错位的，以开标一览表（报价表）的总价为准，并修改单价；</w:t>
      </w:r>
    </w:p>
    <w:p>
      <w:pPr>
        <w:widowControl/>
        <w:snapToGrid w:val="0"/>
        <w:spacing w:line="360" w:lineRule="auto"/>
        <w:rPr>
          <w:rFonts w:ascii="宋体" w:hAnsi="宋体" w:cs="宋体"/>
          <w:sz w:val="24"/>
          <w:szCs w:val="24"/>
        </w:rPr>
      </w:pPr>
      <w:r>
        <w:rPr>
          <w:rFonts w:ascii="宋体" w:hAnsi="宋体" w:cs="宋体"/>
          <w:sz w:val="24"/>
          <w:szCs w:val="24"/>
        </w:rPr>
        <w:t>　　</w:t>
      </w:r>
      <w:r>
        <w:rPr>
          <w:rFonts w:hint="eastAsia" w:ascii="宋体" w:hAnsi="宋体" w:cs="宋体"/>
          <w:sz w:val="24"/>
          <w:szCs w:val="24"/>
        </w:rPr>
        <w:t>3.4</w:t>
      </w:r>
      <w:r>
        <w:rPr>
          <w:rFonts w:ascii="宋体" w:hAnsi="宋体" w:cs="宋体"/>
          <w:sz w:val="24"/>
          <w:szCs w:val="24"/>
        </w:rPr>
        <w:t>总价金额与按单价汇总金额不一致的，以单价金额计算结果为准。</w:t>
      </w:r>
    </w:p>
    <w:p>
      <w:pPr>
        <w:widowControl/>
        <w:snapToGrid w:val="0"/>
        <w:spacing w:line="360" w:lineRule="auto"/>
        <w:rPr>
          <w:rFonts w:ascii="宋体" w:hAnsi="宋体" w:cs="宋体"/>
          <w:sz w:val="24"/>
          <w:szCs w:val="24"/>
        </w:rPr>
      </w:pPr>
      <w:r>
        <w:rPr>
          <w:rFonts w:ascii="宋体" w:hAnsi="宋体" w:cs="宋体"/>
          <w:sz w:val="24"/>
          <w:szCs w:val="24"/>
        </w:rPr>
        <w:t>　　同时出现两种以上不一致的，按照前款规定的顺序修正。修正后的报价按照</w:t>
      </w:r>
      <w:r>
        <w:rPr>
          <w:rFonts w:hint="eastAsia" w:ascii="宋体" w:hAnsi="宋体" w:cs="宋体"/>
          <w:sz w:val="24"/>
          <w:szCs w:val="24"/>
        </w:rPr>
        <w:t>财政部第87号令《政府采购货物和服务招标投标管理办法》</w:t>
      </w:r>
      <w:r>
        <w:rPr>
          <w:rFonts w:ascii="宋体" w:hAnsi="宋体" w:cs="宋体"/>
          <w:sz w:val="24"/>
          <w:szCs w:val="24"/>
        </w:rPr>
        <w:t>第</w:t>
      </w:r>
      <w:r>
        <w:rPr>
          <w:rFonts w:hint="eastAsia" w:ascii="宋体" w:hAnsi="宋体" w:cs="宋体"/>
          <w:sz w:val="24"/>
          <w:szCs w:val="24"/>
        </w:rPr>
        <w:t>51</w:t>
      </w:r>
      <w:r>
        <w:rPr>
          <w:rFonts w:ascii="宋体" w:hAnsi="宋体" w:cs="宋体"/>
          <w:sz w:val="24"/>
          <w:szCs w:val="24"/>
        </w:rPr>
        <w:t>条第二款的规定经</w:t>
      </w:r>
      <w:r>
        <w:rPr>
          <w:rFonts w:hint="eastAsia" w:ascii="宋体" w:hAnsi="宋体" w:cs="宋体"/>
          <w:sz w:val="24"/>
          <w:szCs w:val="24"/>
        </w:rPr>
        <w:t>供应商</w:t>
      </w:r>
      <w:r>
        <w:rPr>
          <w:rFonts w:ascii="宋体" w:hAnsi="宋体" w:cs="宋体"/>
          <w:sz w:val="24"/>
          <w:szCs w:val="24"/>
        </w:rPr>
        <w:t>确认后产生约束力，</w:t>
      </w:r>
      <w:r>
        <w:rPr>
          <w:rFonts w:hint="eastAsia" w:ascii="宋体" w:hAnsi="宋体" w:cs="宋体"/>
          <w:sz w:val="24"/>
          <w:szCs w:val="24"/>
        </w:rPr>
        <w:t>供应商</w:t>
      </w:r>
      <w:r>
        <w:rPr>
          <w:rFonts w:ascii="宋体" w:hAnsi="宋体" w:cs="宋体"/>
          <w:sz w:val="24"/>
          <w:szCs w:val="24"/>
        </w:rPr>
        <w:t>不确认的，其</w:t>
      </w:r>
      <w:r>
        <w:rPr>
          <w:rFonts w:hint="eastAsia" w:ascii="宋体" w:hAnsi="宋体" w:cs="宋体"/>
          <w:sz w:val="24"/>
          <w:szCs w:val="24"/>
        </w:rPr>
        <w:t>响应</w:t>
      </w:r>
      <w:r>
        <w:rPr>
          <w:rFonts w:ascii="宋体" w:hAnsi="宋体" w:cs="宋体"/>
          <w:sz w:val="24"/>
          <w:szCs w:val="24"/>
        </w:rPr>
        <w:t>无效。</w:t>
      </w:r>
    </w:p>
    <w:p>
      <w:pPr>
        <w:snapToGrid w:val="0"/>
        <w:spacing w:line="360" w:lineRule="auto"/>
        <w:ind w:firstLine="480" w:firstLineChars="200"/>
        <w:rPr>
          <w:rFonts w:ascii="宋体" w:hAnsi="宋体" w:cs="宋体"/>
          <w:b/>
          <w:sz w:val="24"/>
          <w:szCs w:val="24"/>
        </w:rPr>
      </w:pPr>
      <w:r>
        <w:rPr>
          <w:rFonts w:ascii="宋体" w:hAnsi="宋体" w:cs="宋体"/>
          <w:color w:val="000000"/>
          <w:sz w:val="24"/>
          <w:szCs w:val="24"/>
        </w:rPr>
        <w:t>4</w:t>
      </w:r>
      <w:r>
        <w:rPr>
          <w:rFonts w:hint="eastAsia" w:ascii="宋体" w:hAnsi="宋体" w:cs="宋体"/>
          <w:color w:val="000000"/>
          <w:sz w:val="24"/>
          <w:szCs w:val="24"/>
        </w:rPr>
        <w:t>、</w:t>
      </w:r>
      <w:r>
        <w:rPr>
          <w:rFonts w:hint="eastAsia" w:ascii="宋体" w:hAnsi="宋体" w:cs="宋体"/>
          <w:snapToGrid w:val="0"/>
          <w:sz w:val="24"/>
          <w:szCs w:val="24"/>
        </w:rPr>
        <w:t>磋商响应总价包含</w:t>
      </w:r>
      <w:r>
        <w:rPr>
          <w:rFonts w:hint="eastAsia" w:ascii="宋体" w:hAnsi="宋体" w:cs="宋体"/>
          <w:bCs/>
          <w:snapToGrid w:val="0"/>
          <w:sz w:val="24"/>
        </w:rPr>
        <w:t>磋商文件所确定的磋商范围内的全部内容，以及为完成上述内容在合同履行过程中可能发生的风险及所需的全部费用。</w:t>
      </w:r>
      <w:r>
        <w:rPr>
          <w:rFonts w:hint="eastAsia" w:ascii="宋体" w:hAnsi="宋体" w:cs="宋体"/>
          <w:b/>
          <w:bCs/>
          <w:snapToGrid w:val="0"/>
          <w:sz w:val="24"/>
        </w:rPr>
        <w:t>磋商</w:t>
      </w:r>
      <w:r>
        <w:rPr>
          <w:rFonts w:hint="eastAsia" w:ascii="宋体" w:hAnsi="宋体" w:cs="宋体"/>
          <w:b/>
          <w:snapToGrid w:val="0"/>
          <w:sz w:val="24"/>
          <w:szCs w:val="24"/>
        </w:rPr>
        <w:t>响应报</w:t>
      </w:r>
      <w:r>
        <w:rPr>
          <w:rFonts w:hint="eastAsia" w:ascii="宋体" w:hAnsi="宋体" w:cs="宋体"/>
          <w:b/>
          <w:bCs/>
          <w:snapToGrid w:val="0"/>
          <w:sz w:val="24"/>
        </w:rPr>
        <w:t>价</w:t>
      </w:r>
      <w:r>
        <w:rPr>
          <w:rFonts w:hint="eastAsia" w:ascii="宋体" w:hAnsi="宋体" w:cs="宋体"/>
          <w:b/>
          <w:bCs/>
          <w:sz w:val="24"/>
          <w:szCs w:val="24"/>
        </w:rPr>
        <w:t>包含但不限于：人工费、档案整理费、装订费、设备费、软件费、办公费、运输费（含装卸力资）、管理费、税金、利润等，还应包含为完成所有工作而采取的各项措施费用，以及作为一个有经验的单位所应考虑到的各种因素、风险而包含的所有费用，即项目履行到项目执行结束的过程中所发生的一切费用及磋商文件要求的所有费用。</w:t>
      </w:r>
    </w:p>
    <w:p>
      <w:pPr>
        <w:snapToGrid w:val="0"/>
        <w:spacing w:line="360" w:lineRule="auto"/>
        <w:ind w:firstLine="480"/>
        <w:rPr>
          <w:rFonts w:asci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tabs>
          <w:tab w:val="left" w:pos="2020"/>
          <w:tab w:val="center" w:pos="4535"/>
        </w:tabs>
        <w:snapToGrid w:val="0"/>
        <w:spacing w:line="360" w:lineRule="auto"/>
        <w:ind w:firstLine="480" w:firstLineChars="200"/>
        <w:outlineLvl w:val="0"/>
      </w:pPr>
      <w:r>
        <w:rPr>
          <w:rFonts w:hint="eastAsia" w:ascii="宋体" w:hAnsi="宋体" w:cs="宋体"/>
          <w:sz w:val="24"/>
          <w:szCs w:val="24"/>
        </w:rPr>
        <w:t>6、本项目竞争性磋商的最终报价单价即为合同成交价，同时</w:t>
      </w:r>
      <w:r>
        <w:rPr>
          <w:rFonts w:hint="eastAsia" w:ascii="宋体" w:hAnsi="宋体" w:cs="宋体"/>
          <w:color w:val="000000"/>
          <w:sz w:val="24"/>
          <w:szCs w:val="24"/>
        </w:rPr>
        <w:t>，供应商的最终成交单价在合同实施期间不因市场变化因素而变动，最终以实际完成</w:t>
      </w:r>
      <w:r>
        <w:rPr>
          <w:rFonts w:hint="eastAsia" w:ascii="宋体" w:hAnsi="宋体" w:cs="宋体"/>
          <w:color w:val="000000"/>
          <w:sz w:val="24"/>
          <w:szCs w:val="24"/>
          <w:lang w:val="en-US" w:eastAsia="zh-CN"/>
        </w:rPr>
        <w:t>且通过采购人和相关单位验收合格的</w:t>
      </w:r>
      <w:r>
        <w:rPr>
          <w:rFonts w:hint="eastAsia" w:ascii="宋体" w:hAnsi="宋体" w:cs="宋体"/>
          <w:color w:val="000000"/>
          <w:sz w:val="24"/>
          <w:szCs w:val="24"/>
        </w:rPr>
        <w:t>档案份数</w:t>
      </w:r>
      <w:r>
        <w:rPr>
          <w:rFonts w:hint="eastAsia" w:ascii="宋体" w:hAnsi="宋体" w:cs="宋体"/>
          <w:color w:val="000000"/>
          <w:sz w:val="24"/>
          <w:szCs w:val="24"/>
          <w:lang w:val="en-US" w:eastAsia="zh-CN"/>
        </w:rPr>
        <w:t>和成交单价</w:t>
      </w:r>
      <w:r>
        <w:rPr>
          <w:rFonts w:hint="eastAsia" w:ascii="宋体" w:hAnsi="宋体" w:cs="宋体"/>
          <w:color w:val="000000"/>
          <w:sz w:val="24"/>
          <w:szCs w:val="24"/>
        </w:rPr>
        <w:t>结算项目款项。</w:t>
      </w:r>
    </w:p>
    <w:p>
      <w:pPr>
        <w:snapToGrid w:val="0"/>
        <w:spacing w:line="360" w:lineRule="auto"/>
        <w:ind w:firstLine="480" w:firstLineChars="200"/>
        <w:rPr>
          <w:rFonts w:ascii="宋体" w:hAnsi="宋体" w:cs="宋体"/>
          <w:snapToGrid w:val="0"/>
          <w:kern w:val="0"/>
          <w:sz w:val="24"/>
          <w:szCs w:val="24"/>
        </w:rPr>
      </w:pPr>
      <w:r>
        <w:rPr>
          <w:rFonts w:hint="eastAsia" w:ascii="宋体" w:hAnsi="宋体" w:cs="宋体"/>
          <w:color w:val="000000"/>
          <w:sz w:val="24"/>
          <w:szCs w:val="24"/>
        </w:rPr>
        <w:t>7、</w:t>
      </w:r>
      <w:r>
        <w:rPr>
          <w:rFonts w:hint="eastAsia" w:ascii="宋体" w:hAnsi="宋体" w:cs="宋体"/>
          <w:snapToGrid w:val="0"/>
          <w:kern w:val="0"/>
          <w:sz w:val="24"/>
          <w:szCs w:val="24"/>
        </w:rPr>
        <w:t>本次磋商项目的报价采用两次报价，磋商响应报价</w:t>
      </w:r>
      <w:r>
        <w:rPr>
          <w:rFonts w:hint="eastAsia" w:ascii="宋体" w:hAnsi="宋体" w:cs="宋体"/>
          <w:snapToGrid w:val="0"/>
          <w:kern w:val="0"/>
          <w:sz w:val="24"/>
          <w:szCs w:val="24"/>
          <w:lang w:val="en-US" w:eastAsia="zh-CN"/>
        </w:rPr>
        <w:t>的单价和总价均</w:t>
      </w:r>
      <w:r>
        <w:rPr>
          <w:rFonts w:hint="eastAsia" w:ascii="宋体" w:hAnsi="宋体" w:cs="宋体"/>
          <w:snapToGrid w:val="0"/>
          <w:kern w:val="0"/>
          <w:sz w:val="24"/>
          <w:szCs w:val="24"/>
        </w:rPr>
        <w:t xml:space="preserve">不得高于或等于项目最高限价。除非在磋商中磋商小组对采购人需求内容作了增加，或对项目需求作了实质性变更，否则采购人不接受供应商高于或等于自己前一轮的磋商报价。最终报价将作为磋商小组评定成交供应商的依据。 </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8、最低的磋商报价是成交的重要条件，但不是成交的唯一条件。</w:t>
      </w:r>
    </w:p>
    <w:p>
      <w:pPr>
        <w:pStyle w:val="2"/>
        <w:keepNext w:val="0"/>
        <w:keepLines w:val="0"/>
        <w:pageBreakBefore w:val="0"/>
        <w:widowControl w:val="0"/>
        <w:kinsoku/>
        <w:wordWrap/>
        <w:overflowPunct/>
        <w:topLinePunct w:val="0"/>
        <w:autoSpaceDE/>
        <w:autoSpaceDN/>
        <w:bidi w:val="0"/>
        <w:adjustRightInd/>
        <w:snapToGrid w:val="0"/>
        <w:spacing w:after="0" w:line="360" w:lineRule="auto"/>
      </w:pPr>
      <w:r>
        <w:rPr>
          <w:rFonts w:hint="eastAsia" w:ascii="宋体" w:hAnsi="宋体" w:cs="宋体"/>
          <w:snapToGrid w:val="0"/>
          <w:sz w:val="24"/>
          <w:szCs w:val="24"/>
          <w:lang w:val="en-US" w:eastAsia="zh-CN"/>
        </w:rPr>
        <w:t>9</w:t>
      </w:r>
      <w:r>
        <w:rPr>
          <w:rFonts w:hint="eastAsia" w:ascii="宋体" w:hAnsi="宋体" w:eastAsia="宋体" w:cs="宋体"/>
          <w:snapToGrid w:val="0"/>
          <w:sz w:val="24"/>
          <w:szCs w:val="24"/>
        </w:rPr>
        <w:t>、</w:t>
      </w:r>
      <w:r>
        <w:rPr>
          <w:rFonts w:hint="eastAsia" w:ascii="Times New Roman" w:hAnsi="Times New Roman" w:eastAsia="宋体" w:cs="宋体"/>
          <w:kern w:val="2"/>
          <w:sz w:val="24"/>
          <w:szCs w:val="24"/>
        </w:rPr>
        <w:t>如因采购人实际需求，数量发生变化，成交人须无条件满足采购人需求，确保</w:t>
      </w:r>
      <w:r>
        <w:rPr>
          <w:rFonts w:hint="eastAsia" w:cs="宋体"/>
          <w:kern w:val="2"/>
          <w:sz w:val="24"/>
          <w:szCs w:val="24"/>
          <w:lang w:val="en-US" w:eastAsia="zh-CN"/>
        </w:rPr>
        <w:t>服务</w:t>
      </w:r>
      <w:r>
        <w:rPr>
          <w:rFonts w:hint="eastAsia" w:ascii="Times New Roman" w:hAnsi="Times New Roman" w:eastAsia="宋体" w:cs="宋体"/>
          <w:kern w:val="2"/>
          <w:sz w:val="24"/>
          <w:szCs w:val="24"/>
        </w:rPr>
        <w:t>质量；结算时按采购人验收合格的实际数量进行结算，</w:t>
      </w:r>
      <w:r>
        <w:rPr>
          <w:rFonts w:hint="eastAsia" w:ascii="Times New Roman" w:hAnsi="Times New Roman" w:eastAsia="宋体" w:cs="宋体"/>
          <w:kern w:val="2"/>
          <w:sz w:val="24"/>
          <w:szCs w:val="24"/>
          <w:lang w:val="en-US" w:eastAsia="zh-CN"/>
        </w:rPr>
        <w:t>合同</w:t>
      </w:r>
      <w:r>
        <w:rPr>
          <w:rFonts w:hint="eastAsia" w:ascii="Times New Roman" w:hAnsi="Times New Roman" w:eastAsia="宋体" w:cs="宋体"/>
          <w:kern w:val="2"/>
          <w:sz w:val="24"/>
          <w:szCs w:val="24"/>
        </w:rPr>
        <w:t>单价不变。</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七、联合体参与磋商</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6" w:firstLineChars="206"/>
        <w:outlineLvl w:val="1"/>
        <w:rPr>
          <w:sz w:val="24"/>
          <w:szCs w:val="24"/>
        </w:rPr>
      </w:pPr>
      <w:r>
        <w:rPr>
          <w:rFonts w:hint="eastAsia" w:cs="宋体"/>
          <w:b/>
          <w:bCs/>
          <w:sz w:val="24"/>
          <w:szCs w:val="24"/>
        </w:rPr>
        <w:t>八、磋商响应文件的有效期</w:t>
      </w:r>
    </w:p>
    <w:p>
      <w:pPr>
        <w:snapToGrid w:val="0"/>
        <w:spacing w:line="360" w:lineRule="auto"/>
        <w:ind w:firstLine="480" w:firstLineChars="200"/>
        <w:rPr>
          <w:sz w:val="24"/>
          <w:szCs w:val="24"/>
        </w:rPr>
      </w:pPr>
      <w:r>
        <w:rPr>
          <w:sz w:val="24"/>
          <w:szCs w:val="24"/>
        </w:rPr>
        <w:t>1</w:t>
      </w:r>
      <w:r>
        <w:rPr>
          <w:rFonts w:hint="eastAsia"/>
          <w:sz w:val="24"/>
          <w:szCs w:val="24"/>
        </w:rPr>
        <w:t>、</w:t>
      </w:r>
      <w:r>
        <w:rPr>
          <w:rFonts w:hint="eastAsia" w:cs="宋体"/>
          <w:sz w:val="24"/>
          <w:szCs w:val="24"/>
        </w:rPr>
        <w:t>从磋商响应文件接收截止之日算起，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内磋商响应文件应保持有效。有效期短于这个规定期限的磋商响应，将被拒绝。</w:t>
      </w:r>
    </w:p>
    <w:p>
      <w:pPr>
        <w:snapToGrid w:val="0"/>
        <w:spacing w:line="360" w:lineRule="auto"/>
        <w:ind w:firstLine="480" w:firstLineChars="200"/>
        <w:rPr>
          <w:sz w:val="24"/>
          <w:szCs w:val="24"/>
        </w:rPr>
      </w:pPr>
      <w:r>
        <w:rPr>
          <w:sz w:val="24"/>
          <w:szCs w:val="24"/>
        </w:rPr>
        <w:t>2</w:t>
      </w:r>
      <w:r>
        <w:rPr>
          <w:rFonts w:hint="eastAsia"/>
          <w:sz w:val="24"/>
          <w:szCs w:val="24"/>
        </w:rPr>
        <w:t>、</w:t>
      </w:r>
      <w:r>
        <w:rPr>
          <w:rFonts w:hint="eastAsia" w:cs="宋体"/>
          <w:sz w:val="24"/>
          <w:szCs w:val="24"/>
        </w:rPr>
        <w:t>在特殊情况下，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sz w:val="24"/>
          <w:szCs w:val="24"/>
        </w:rPr>
      </w:pPr>
      <w:r>
        <w:rPr>
          <w:rFonts w:hint="eastAsia" w:cs="宋体"/>
          <w:b/>
          <w:bCs/>
          <w:sz w:val="24"/>
          <w:szCs w:val="24"/>
        </w:rPr>
        <w:t>九</w:t>
      </w:r>
      <w:r>
        <w:rPr>
          <w:rFonts w:hint="eastAsia" w:ascii="宋体" w:hAnsi="宋体" w:cs="宋体"/>
          <w:b/>
          <w:bCs/>
          <w:color w:val="000000"/>
          <w:sz w:val="24"/>
          <w:szCs w:val="24"/>
        </w:rPr>
        <w:t>、磋商</w:t>
      </w:r>
      <w:r>
        <w:rPr>
          <w:rFonts w:hint="eastAsia" w:ascii="宋体" w:hAnsi="宋体" w:cs="宋体"/>
          <w:b/>
          <w:bCs/>
          <w:sz w:val="24"/>
          <w:szCs w:val="24"/>
        </w:rPr>
        <w:t>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napToGrid w:val="0"/>
        <w:spacing w:line="360" w:lineRule="auto"/>
        <w:ind w:firstLine="460" w:firstLineChars="192"/>
        <w:rPr>
          <w:rFonts w:ascii="宋体" w:hAnsi="宋体"/>
          <w:sz w:val="24"/>
          <w:szCs w:val="24"/>
        </w:rPr>
      </w:pPr>
      <w:r>
        <w:rPr>
          <w:rFonts w:ascii="宋体" w:hAnsi="宋体" w:cs="宋体"/>
          <w:sz w:val="24"/>
          <w:szCs w:val="24"/>
        </w:rPr>
        <w:t>1</w:t>
      </w:r>
      <w:r>
        <w:rPr>
          <w:rFonts w:hint="eastAsia" w:ascii="宋体" w:hAnsi="宋体" w:cs="宋体"/>
          <w:sz w:val="24"/>
          <w:szCs w:val="24"/>
        </w:rPr>
        <w:t>、磋商程序顺利进行后，除供应商的原件可退回外，其余所有的响应文件都将作为档案保存，不论成交与否，代理机构均不退回（未拆封的除外）。</w:t>
      </w:r>
    </w:p>
    <w:p>
      <w:pPr>
        <w:snapToGrid w:val="0"/>
        <w:spacing w:line="360" w:lineRule="auto"/>
        <w:ind w:firstLine="460" w:firstLineChars="192"/>
        <w:rPr>
          <w:rFonts w:ascii="宋体" w:hAnsi="宋体"/>
          <w:b/>
          <w:bCs/>
          <w:sz w:val="24"/>
          <w:szCs w:val="24"/>
        </w:rPr>
      </w:pPr>
      <w:r>
        <w:rPr>
          <w:rFonts w:ascii="宋体" w:hAnsi="宋体" w:cs="宋体"/>
          <w:color w:val="000000"/>
          <w:sz w:val="24"/>
          <w:szCs w:val="24"/>
        </w:rPr>
        <w:t>2</w:t>
      </w:r>
      <w:r>
        <w:rPr>
          <w:rFonts w:hint="eastAsia" w:ascii="宋体" w:hAnsi="宋体" w:cs="宋体"/>
          <w:color w:val="000000"/>
          <w:sz w:val="24"/>
          <w:szCs w:val="24"/>
        </w:rPr>
        <w:t>、无论磋商过程和结果如何，参加项目磋商的供应商自行承担与本次项目磋商有</w:t>
      </w:r>
      <w:r>
        <w:rPr>
          <w:rFonts w:hint="eastAsia" w:ascii="宋体" w:hAnsi="宋体" w:cs="宋体"/>
          <w:sz w:val="24"/>
          <w:szCs w:val="24"/>
        </w:rPr>
        <w:t>关的全部费用。</w:t>
      </w:r>
    </w:p>
    <w:p>
      <w:pPr>
        <w:snapToGrid w:val="0"/>
        <w:spacing w:line="360" w:lineRule="auto"/>
        <w:ind w:firstLine="494" w:firstLineChars="206"/>
        <w:rPr>
          <w:rFonts w:ascii="宋体" w:hAnsi="宋体"/>
          <w:bCs/>
          <w:sz w:val="24"/>
          <w:szCs w:val="24"/>
        </w:rPr>
      </w:pPr>
      <w:r>
        <w:rPr>
          <w:rFonts w:ascii="宋体" w:hAnsi="宋体"/>
          <w:bCs/>
          <w:sz w:val="24"/>
          <w:szCs w:val="24"/>
        </w:rPr>
        <w:t>3</w:t>
      </w:r>
      <w:r>
        <w:rPr>
          <w:rFonts w:hint="eastAsia" w:ascii="宋体" w:hAnsi="宋体" w:cs="宋体"/>
          <w:bCs/>
          <w:sz w:val="24"/>
          <w:szCs w:val="24"/>
        </w:rPr>
        <w:t>、各供应商须在递交磋商响应文件的同时缴纳磋商文件资料费300.00元。无论是否成交，该</w:t>
      </w:r>
      <w:r>
        <w:rPr>
          <w:rFonts w:hint="eastAsia" w:ascii="宋体" w:hAnsi="宋体"/>
          <w:bCs/>
          <w:sz w:val="24"/>
          <w:szCs w:val="24"/>
        </w:rPr>
        <w:t>费用不予退还。</w:t>
      </w:r>
    </w:p>
    <w:p>
      <w:pPr>
        <w:pStyle w:val="2"/>
        <w:snapToGrid w:val="0"/>
        <w:spacing w:after="0" w:line="360" w:lineRule="auto"/>
        <w:ind w:firstLine="480"/>
        <w:rPr>
          <w:rFonts w:ascii="宋体" w:hAnsi="宋体"/>
        </w:rPr>
      </w:pPr>
      <w:r>
        <w:rPr>
          <w:rFonts w:hint="eastAsia" w:ascii="宋体" w:hAnsi="宋体"/>
          <w:bCs/>
          <w:sz w:val="24"/>
          <w:szCs w:val="24"/>
        </w:rPr>
        <w:t>4、本项目</w:t>
      </w:r>
      <w:r>
        <w:rPr>
          <w:rFonts w:hint="eastAsia" w:ascii="宋体" w:hAnsi="宋体"/>
          <w:sz w:val="24"/>
          <w:szCs w:val="24"/>
        </w:rPr>
        <w:t>代理服务费1200元由成交供应商承担，请参加磋商的磋商响应供应商在成本中自行考虑</w:t>
      </w:r>
      <w:r>
        <w:rPr>
          <w:rFonts w:hint="eastAsia" w:ascii="宋体" w:hAnsi="宋体"/>
          <w:bCs/>
          <w:sz w:val="24"/>
          <w:szCs w:val="24"/>
        </w:rPr>
        <w:t>。</w:t>
      </w:r>
    </w:p>
    <w:p>
      <w:pPr>
        <w:snapToGrid w:val="0"/>
        <w:spacing w:line="360" w:lineRule="auto"/>
        <w:ind w:firstLine="496" w:firstLineChars="206"/>
        <w:outlineLvl w:val="1"/>
        <w:rPr>
          <w:rFonts w:ascii="宋体"/>
          <w:b/>
          <w:bCs/>
          <w:sz w:val="24"/>
          <w:szCs w:val="24"/>
        </w:rPr>
      </w:pPr>
      <w:r>
        <w:rPr>
          <w:rFonts w:hint="eastAsia" w:ascii="宋体" w:hAnsi="宋体" w:cs="宋体"/>
          <w:b/>
          <w:bCs/>
          <w:color w:val="000000"/>
          <w:sz w:val="24"/>
          <w:szCs w:val="24"/>
        </w:rPr>
        <w:t>十</w:t>
      </w:r>
      <w:r>
        <w:rPr>
          <w:rFonts w:hint="eastAsia" w:ascii="宋体" w:hAnsi="宋体" w:cs="宋体"/>
          <w:b/>
          <w:bCs/>
          <w:sz w:val="24"/>
          <w:szCs w:val="24"/>
        </w:rPr>
        <w:t>、履约保证金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、本项目成交后的履约保证金为项目成交价的</w:t>
      </w:r>
      <w:r>
        <w:rPr>
          <w:rFonts w:hint="eastAsia" w:ascii="宋体" w:hAnsi="宋体" w:cs="宋体"/>
          <w:sz w:val="24"/>
          <w:szCs w:val="24"/>
          <w:u w:val="single"/>
        </w:rPr>
        <w:t>5</w:t>
      </w:r>
      <w:r>
        <w:rPr>
          <w:rFonts w:ascii="宋体" w:hAnsi="宋体" w:cs="宋体"/>
          <w:sz w:val="24"/>
          <w:szCs w:val="24"/>
          <w:u w:val="single"/>
        </w:rPr>
        <w:t>%</w:t>
      </w:r>
      <w:r>
        <w:rPr>
          <w:rFonts w:hint="eastAsia" w:ascii="宋体" w:hAnsi="宋体" w:cs="宋体"/>
          <w:sz w:val="24"/>
          <w:szCs w:val="24"/>
        </w:rPr>
        <w:t>。</w:t>
      </w:r>
    </w:p>
    <w:p>
      <w:pPr>
        <w:snapToGrid w:val="0"/>
        <w:spacing w:line="360" w:lineRule="auto"/>
        <w:ind w:firstLine="494" w:firstLineChars="206"/>
        <w:outlineLvl w:val="1"/>
        <w:rPr>
          <w:rFonts w:ascii="宋体" w:hAnsi="宋体"/>
          <w:bCs/>
          <w:sz w:val="24"/>
          <w:szCs w:val="24"/>
        </w:rPr>
      </w:pPr>
      <w:r>
        <w:rPr>
          <w:rFonts w:ascii="宋体" w:hAnsi="宋体"/>
          <w:bCs/>
          <w:color w:val="000000"/>
          <w:sz w:val="24"/>
          <w:szCs w:val="24"/>
        </w:rPr>
        <w:t>2、成交供应商的履约保证金须在成交通知书发出3日内汇入采购人账户，</w:t>
      </w:r>
      <w:r>
        <w:rPr>
          <w:rFonts w:ascii="宋体" w:hAnsi="宋体"/>
          <w:bCs/>
          <w:sz w:val="24"/>
          <w:szCs w:val="24"/>
        </w:rPr>
        <w:t>成交供应商凭成交通知书、履约保证金缴纳凭证在成交通知书发出后</w:t>
      </w:r>
      <w:r>
        <w:rPr>
          <w:rFonts w:hint="eastAsia" w:ascii="宋体" w:hAnsi="宋体"/>
          <w:bCs/>
          <w:sz w:val="24"/>
          <w:szCs w:val="24"/>
        </w:rPr>
        <w:t>15</w:t>
      </w:r>
      <w:r>
        <w:rPr>
          <w:rFonts w:ascii="宋体" w:hAnsi="宋体"/>
          <w:bCs/>
          <w:color w:val="000000"/>
          <w:sz w:val="24"/>
          <w:szCs w:val="24"/>
        </w:rPr>
        <w:t>日</w:t>
      </w:r>
      <w:r>
        <w:rPr>
          <w:rFonts w:ascii="宋体" w:hAnsi="宋体"/>
          <w:bCs/>
          <w:sz w:val="24"/>
          <w:szCs w:val="24"/>
        </w:rPr>
        <w:t xml:space="preserve">内与采购人签订合同。超期或未有协商，则视为自动放弃成交资格。  </w:t>
      </w:r>
    </w:p>
    <w:p>
      <w:pPr>
        <w:snapToGrid w:val="0"/>
        <w:spacing w:line="360" w:lineRule="auto"/>
        <w:ind w:firstLine="494" w:firstLineChars="206"/>
        <w:outlineLvl w:val="1"/>
        <w:rPr>
          <w:rFonts w:ascii="宋体" w:hAnsi="宋体"/>
          <w:bCs/>
          <w:color w:val="000000"/>
          <w:sz w:val="24"/>
          <w:szCs w:val="24"/>
        </w:rPr>
      </w:pPr>
      <w:r>
        <w:rPr>
          <w:rFonts w:ascii="宋体" w:hAnsi="宋体"/>
          <w:bCs/>
          <w:color w:val="000000"/>
          <w:sz w:val="24"/>
          <w:szCs w:val="24"/>
        </w:rPr>
        <w:t>3、成交供应商在</w:t>
      </w:r>
      <w:r>
        <w:rPr>
          <w:rFonts w:hint="eastAsia" w:ascii="宋体" w:hAnsi="宋体"/>
          <w:bCs/>
          <w:color w:val="000000"/>
          <w:sz w:val="24"/>
          <w:szCs w:val="24"/>
        </w:rPr>
        <w:t>合同期</w:t>
      </w:r>
      <w:r>
        <w:rPr>
          <w:rFonts w:ascii="宋体" w:hAnsi="宋体"/>
          <w:bCs/>
          <w:color w:val="000000"/>
          <w:sz w:val="24"/>
          <w:szCs w:val="24"/>
        </w:rPr>
        <w:t>按要求保质保量地完成该项目合同并通过验收后，采购人凭成交供应商提交的申请，一次性无息退还该合同项目的履约保证金。</w:t>
      </w:r>
    </w:p>
    <w:p>
      <w:pPr>
        <w:snapToGrid w:val="0"/>
        <w:spacing w:line="360" w:lineRule="auto"/>
        <w:ind w:firstLine="494" w:firstLineChars="206"/>
        <w:outlineLvl w:val="1"/>
        <w:rPr>
          <w:rFonts w:ascii="宋体" w:hAnsi="宋体"/>
          <w:bCs/>
          <w:color w:val="000000"/>
          <w:sz w:val="24"/>
          <w:szCs w:val="24"/>
        </w:rPr>
      </w:pPr>
      <w:r>
        <w:rPr>
          <w:rFonts w:ascii="宋体" w:hAnsi="宋体"/>
          <w:bCs/>
          <w:color w:val="000000"/>
          <w:sz w:val="24"/>
          <w:szCs w:val="24"/>
        </w:rPr>
        <w:t>4、由于成交供应商原因，在签订合同后出现不按合同履行的情况，采购人有权将履约保证金作为违约金，全额不予退还，同时采购人亦有权终止合同，成交供应商还须承担相应的法律赔偿责任。</w:t>
      </w:r>
    </w:p>
    <w:p>
      <w:pPr>
        <w:snapToGrid w:val="0"/>
        <w:spacing w:line="360" w:lineRule="auto"/>
        <w:ind w:firstLine="496" w:firstLineChars="206"/>
        <w:outlineLvl w:val="1"/>
        <w:rPr>
          <w:rFonts w:ascii="宋体"/>
          <w:b/>
          <w:bCs/>
          <w:color w:val="000000"/>
          <w:sz w:val="24"/>
          <w:szCs w:val="24"/>
        </w:rPr>
      </w:pPr>
      <w:r>
        <w:rPr>
          <w:rFonts w:hint="eastAsia" w:ascii="宋体" w:hAnsi="宋体" w:cs="宋体"/>
          <w:b/>
          <w:bCs/>
          <w:sz w:val="24"/>
          <w:szCs w:val="24"/>
        </w:rPr>
        <w:t>十一</w:t>
      </w:r>
      <w:r>
        <w:rPr>
          <w:rFonts w:hint="eastAsia" w:ascii="宋体" w:hAnsi="宋体" w:cs="宋体"/>
          <w:b/>
          <w:bCs/>
          <w:color w:val="000000"/>
          <w:sz w:val="24"/>
          <w:szCs w:val="24"/>
        </w:rPr>
        <w:t>、未尽事宜</w:t>
      </w:r>
    </w:p>
    <w:p>
      <w:pPr>
        <w:snapToGrid w:val="0"/>
        <w:spacing w:line="360" w:lineRule="auto"/>
        <w:ind w:firstLine="494" w:firstLineChars="206"/>
        <w:rPr>
          <w:rFonts w:ascii="宋体"/>
          <w:color w:val="000000"/>
          <w:sz w:val="24"/>
          <w:szCs w:val="24"/>
        </w:rPr>
        <w:sectPr>
          <w:pgSz w:w="11906" w:h="16838"/>
          <w:pgMar w:top="1361" w:right="1191" w:bottom="1191" w:left="1361" w:header="851" w:footer="641" w:gutter="0"/>
          <w:pgNumType w:start="1"/>
          <w:cols w:space="720" w:num="1"/>
          <w:docGrid w:linePitch="312" w:charSpace="0"/>
        </w:sectPr>
      </w:pPr>
      <w:r>
        <w:rPr>
          <w:rFonts w:hint="eastAsia" w:ascii="宋体" w:hAnsi="宋体" w:cs="宋体"/>
          <w:color w:val="000000"/>
          <w:sz w:val="24"/>
          <w:szCs w:val="24"/>
        </w:rPr>
        <w:t>按《中华人民共和国政府采购法》、《政府采</w:t>
      </w:r>
      <w:bookmarkStart w:id="33" w:name="_Toc363573855"/>
      <w:r>
        <w:rPr>
          <w:rFonts w:hint="eastAsia" w:ascii="宋体" w:hAnsi="宋体" w:cs="宋体"/>
          <w:color w:val="000000"/>
          <w:sz w:val="24"/>
          <w:szCs w:val="24"/>
        </w:rPr>
        <w:t>购竞争性磋商采购方式管理暂行办法》及其他有关法律法规的规定执行。</w:t>
      </w:r>
    </w:p>
    <w:bookmarkEnd w:id="23"/>
    <w:bookmarkEnd w:id="24"/>
    <w:bookmarkEnd w:id="25"/>
    <w:bookmarkEnd w:id="26"/>
    <w:bookmarkEnd w:id="27"/>
    <w:bookmarkEnd w:id="28"/>
    <w:bookmarkEnd w:id="29"/>
    <w:bookmarkEnd w:id="30"/>
    <w:bookmarkEnd w:id="31"/>
    <w:bookmarkEnd w:id="32"/>
    <w:bookmarkEnd w:id="33"/>
    <w:p>
      <w:pPr>
        <w:snapToGrid w:val="0"/>
        <w:spacing w:before="600" w:beforeLines="250" w:line="360" w:lineRule="auto"/>
        <w:jc w:val="center"/>
        <w:rPr>
          <w:rFonts w:ascii="宋体" w:hAnsi="宋体" w:cs="宋体"/>
          <w:b/>
          <w:bCs/>
          <w:color w:val="000000"/>
          <w:w w:val="80"/>
          <w:sz w:val="44"/>
          <w:szCs w:val="44"/>
        </w:rPr>
      </w:pPr>
      <w:bookmarkStart w:id="34" w:name="_Toc11500282"/>
      <w:bookmarkStart w:id="35" w:name="_Toc13803483"/>
      <w:bookmarkStart w:id="36" w:name="_Toc94544746"/>
      <w:bookmarkStart w:id="37" w:name="_Toc12670505"/>
      <w:bookmarkStart w:id="38" w:name="_Toc94585342"/>
      <w:bookmarkStart w:id="39" w:name="_Toc11499586"/>
      <w:bookmarkStart w:id="40" w:name="_Toc8895741"/>
      <w:bookmarkStart w:id="41" w:name="_Toc94544872"/>
      <w:bookmarkStart w:id="42" w:name="_Toc521201599"/>
      <w:bookmarkStart w:id="43" w:name="_Toc521203420"/>
      <w:bookmarkStart w:id="44" w:name="_Toc11554641"/>
      <w:bookmarkStart w:id="45" w:name="_Toc363573856"/>
      <w:r>
        <w:rPr>
          <w:rFonts w:hint="eastAsia" w:ascii="宋体" w:hAnsi="宋体" w:cs="宋体"/>
          <w:b/>
          <w:bCs/>
          <w:color w:val="000000"/>
          <w:w w:val="80"/>
          <w:sz w:val="44"/>
          <w:szCs w:val="44"/>
        </w:rPr>
        <w:t>第三章 项目需求</w:t>
      </w:r>
    </w:p>
    <w:p>
      <w:pPr>
        <w:spacing w:before="240" w:line="360" w:lineRule="auto"/>
        <w:ind w:firstLine="482" w:firstLineChars="200"/>
        <w:rPr>
          <w:rFonts w:ascii="宋体" w:hAnsi="宋体"/>
          <w:b/>
          <w:sz w:val="24"/>
          <w:szCs w:val="24"/>
        </w:rPr>
      </w:pPr>
      <w:r>
        <w:rPr>
          <w:rFonts w:hint="eastAsia" w:ascii="宋体" w:hAnsi="宋体"/>
          <w:b/>
          <w:sz w:val="24"/>
          <w:szCs w:val="24"/>
        </w:rPr>
        <w:t>一、项目概况</w:t>
      </w:r>
    </w:p>
    <w:p>
      <w:pPr>
        <w:spacing w:line="360" w:lineRule="auto"/>
        <w:ind w:firstLine="480" w:firstLineChars="200"/>
        <w:rPr>
          <w:rFonts w:ascii="宋体" w:hAnsi="宋体"/>
          <w:sz w:val="24"/>
          <w:szCs w:val="24"/>
          <w:lang w:val="zh-CN"/>
        </w:rPr>
      </w:pPr>
      <w:r>
        <w:rPr>
          <w:rFonts w:hint="eastAsia" w:ascii="宋体" w:hAnsi="宋体"/>
          <w:sz w:val="24"/>
          <w:szCs w:val="24"/>
          <w:lang w:val="zh-CN"/>
        </w:rPr>
        <w:t>1、整理档案数量及时间：</w:t>
      </w:r>
    </w:p>
    <w:p>
      <w:pPr>
        <w:spacing w:line="360" w:lineRule="auto"/>
        <w:ind w:firstLine="480" w:firstLineChars="200"/>
        <w:rPr>
          <w:rFonts w:ascii="宋体" w:hAnsi="宋体"/>
          <w:sz w:val="24"/>
          <w:szCs w:val="24"/>
          <w:lang w:val="zh-CN"/>
        </w:rPr>
      </w:pPr>
      <w:r>
        <w:rPr>
          <w:rFonts w:hint="eastAsia" w:ascii="宋体" w:hAnsi="宋体"/>
          <w:sz w:val="24"/>
          <w:szCs w:val="24"/>
          <w:lang w:val="zh-CN"/>
        </w:rPr>
        <w:t>1999-2002年档案共1.55万份在202</w:t>
      </w:r>
      <w:r>
        <w:rPr>
          <w:rFonts w:ascii="宋体" w:hAnsi="宋体"/>
          <w:sz w:val="24"/>
          <w:szCs w:val="24"/>
          <w:lang w:val="zh-CN"/>
        </w:rPr>
        <w:t>2</w:t>
      </w:r>
      <w:r>
        <w:rPr>
          <w:rFonts w:hint="eastAsia" w:ascii="宋体" w:hAnsi="宋体"/>
          <w:sz w:val="24"/>
          <w:szCs w:val="24"/>
          <w:lang w:val="zh-CN"/>
        </w:rPr>
        <w:t>年12月30日前完成验收进馆。</w:t>
      </w:r>
    </w:p>
    <w:p>
      <w:pPr>
        <w:spacing w:line="360" w:lineRule="auto"/>
        <w:ind w:firstLine="480" w:firstLineChars="200"/>
        <w:rPr>
          <w:rFonts w:ascii="宋体" w:hAnsi="宋体"/>
          <w:sz w:val="24"/>
          <w:szCs w:val="24"/>
          <w:lang w:val="zh-CN"/>
        </w:rPr>
      </w:pPr>
      <w:r>
        <w:rPr>
          <w:rFonts w:hint="eastAsia" w:ascii="宋体" w:hAnsi="宋体"/>
          <w:sz w:val="24"/>
          <w:szCs w:val="24"/>
          <w:lang w:val="zh-CN"/>
        </w:rPr>
        <w:t>20</w:t>
      </w:r>
      <w:r>
        <w:rPr>
          <w:rFonts w:ascii="宋体" w:hAnsi="宋体"/>
          <w:sz w:val="24"/>
          <w:szCs w:val="24"/>
          <w:lang w:val="zh-CN"/>
        </w:rPr>
        <w:t>15</w:t>
      </w:r>
      <w:r>
        <w:rPr>
          <w:rFonts w:hint="eastAsia" w:ascii="宋体" w:hAnsi="宋体"/>
          <w:sz w:val="24"/>
          <w:szCs w:val="24"/>
          <w:lang w:val="zh-CN"/>
        </w:rPr>
        <w:t>-2018年档案约4万份在202</w:t>
      </w:r>
      <w:r>
        <w:rPr>
          <w:rFonts w:ascii="宋体" w:hAnsi="宋体"/>
          <w:sz w:val="24"/>
          <w:szCs w:val="24"/>
          <w:lang w:val="zh-CN"/>
        </w:rPr>
        <w:t>2</w:t>
      </w:r>
      <w:r>
        <w:rPr>
          <w:rFonts w:hint="eastAsia" w:ascii="宋体" w:hAnsi="宋体"/>
          <w:sz w:val="24"/>
          <w:szCs w:val="24"/>
          <w:lang w:val="zh-CN"/>
        </w:rPr>
        <w:t>年12月30日前完成验收。</w:t>
      </w:r>
    </w:p>
    <w:p>
      <w:pPr>
        <w:spacing w:line="360" w:lineRule="auto"/>
        <w:ind w:firstLine="480" w:firstLineChars="200"/>
        <w:rPr>
          <w:rFonts w:ascii="宋体" w:hAnsi="宋体"/>
          <w:sz w:val="24"/>
          <w:szCs w:val="24"/>
          <w:lang w:val="zh-CN"/>
        </w:rPr>
      </w:pPr>
      <w:r>
        <w:rPr>
          <w:rFonts w:hint="eastAsia" w:ascii="宋体" w:hAnsi="宋体"/>
          <w:sz w:val="24"/>
          <w:szCs w:val="24"/>
          <w:lang w:val="zh-CN"/>
        </w:rPr>
        <w:t>2、进馆资料主要内容：</w:t>
      </w:r>
    </w:p>
    <w:p>
      <w:pPr>
        <w:spacing w:line="360" w:lineRule="auto"/>
        <w:ind w:firstLine="480" w:firstLineChars="200"/>
        <w:rPr>
          <w:rFonts w:ascii="宋体" w:hAnsi="宋体"/>
          <w:sz w:val="24"/>
          <w:szCs w:val="24"/>
          <w:lang w:val="zh-CN"/>
        </w:rPr>
      </w:pPr>
      <w:r>
        <w:rPr>
          <w:rFonts w:hint="eastAsia" w:ascii="宋体" w:hAnsi="宋体"/>
          <w:sz w:val="24"/>
          <w:szCs w:val="24"/>
          <w:lang w:val="zh-CN"/>
        </w:rPr>
        <w:t>1999-2002年档案（1）《出生医学证明登记本》</w:t>
      </w:r>
    </w:p>
    <w:p>
      <w:pPr>
        <w:spacing w:line="360" w:lineRule="auto"/>
        <w:ind w:left="2910" w:leftChars="1100" w:hanging="600" w:hangingChars="250"/>
        <w:rPr>
          <w:rFonts w:ascii="宋体" w:hAnsi="宋体"/>
          <w:sz w:val="24"/>
          <w:szCs w:val="24"/>
          <w:lang w:val="zh-CN"/>
        </w:rPr>
      </w:pPr>
      <w:r>
        <w:rPr>
          <w:rFonts w:hint="eastAsia" w:ascii="宋体" w:hAnsi="宋体"/>
          <w:sz w:val="24"/>
          <w:szCs w:val="24"/>
          <w:lang w:val="zh-CN"/>
        </w:rPr>
        <w:t>（2）《分娩登记本》</w:t>
      </w:r>
    </w:p>
    <w:p>
      <w:pPr>
        <w:spacing w:line="360" w:lineRule="auto"/>
        <w:ind w:firstLine="480" w:firstLineChars="200"/>
        <w:rPr>
          <w:rFonts w:ascii="宋体" w:hAnsi="宋体"/>
          <w:sz w:val="24"/>
          <w:szCs w:val="24"/>
          <w:lang w:val="zh-CN"/>
        </w:rPr>
      </w:pPr>
      <w:r>
        <w:rPr>
          <w:rFonts w:ascii="宋体" w:hAnsi="宋体"/>
          <w:sz w:val="24"/>
          <w:szCs w:val="24"/>
          <w:lang w:val="zh-CN"/>
        </w:rPr>
        <w:t>2015-</w:t>
      </w:r>
      <w:r>
        <w:rPr>
          <w:rFonts w:hint="eastAsia" w:ascii="宋体" w:hAnsi="宋体"/>
          <w:sz w:val="24"/>
          <w:szCs w:val="24"/>
          <w:lang w:val="zh-CN"/>
        </w:rPr>
        <w:t>2018年档案（1）《出生医学证明》存根</w:t>
      </w:r>
    </w:p>
    <w:p>
      <w:pPr>
        <w:spacing w:line="360" w:lineRule="auto"/>
        <w:ind w:left="2910" w:leftChars="1100" w:hanging="600" w:hangingChars="250"/>
        <w:rPr>
          <w:rFonts w:ascii="宋体" w:hAnsi="宋体"/>
          <w:sz w:val="24"/>
          <w:szCs w:val="24"/>
          <w:lang w:val="zh-CN"/>
        </w:rPr>
      </w:pPr>
      <w:r>
        <w:rPr>
          <w:rFonts w:hint="eastAsia" w:ascii="宋体" w:hAnsi="宋体"/>
          <w:sz w:val="24"/>
          <w:szCs w:val="24"/>
          <w:lang w:val="zh-CN"/>
        </w:rPr>
        <w:t>（2）《出生医学证明》申领表（首次签发登记表、补发申请表和换发申请表）</w:t>
      </w:r>
    </w:p>
    <w:p>
      <w:pPr>
        <w:spacing w:line="360" w:lineRule="auto"/>
        <w:ind w:left="2910" w:leftChars="1100" w:hanging="600" w:hangingChars="250"/>
        <w:rPr>
          <w:rFonts w:ascii="宋体" w:hAnsi="宋体"/>
          <w:sz w:val="24"/>
          <w:szCs w:val="24"/>
          <w:lang w:val="zh-CN"/>
        </w:rPr>
      </w:pPr>
      <w:r>
        <w:rPr>
          <w:rFonts w:hint="eastAsia" w:ascii="宋体" w:hAnsi="宋体"/>
          <w:sz w:val="24"/>
          <w:szCs w:val="24"/>
          <w:lang w:val="zh-CN"/>
        </w:rPr>
        <w:t>（3）新生儿父母有效身份证复印件</w:t>
      </w:r>
    </w:p>
    <w:p>
      <w:pPr>
        <w:spacing w:line="360" w:lineRule="auto"/>
        <w:ind w:left="2910" w:leftChars="1100" w:hanging="600" w:hangingChars="250"/>
        <w:rPr>
          <w:rFonts w:ascii="宋体" w:hAnsi="宋体"/>
          <w:sz w:val="24"/>
          <w:szCs w:val="24"/>
          <w:lang w:val="zh-CN"/>
        </w:rPr>
      </w:pPr>
      <w:r>
        <w:rPr>
          <w:rFonts w:hint="eastAsia" w:ascii="宋体" w:hAnsi="宋体"/>
          <w:sz w:val="24"/>
          <w:szCs w:val="24"/>
          <w:lang w:val="zh-CN"/>
        </w:rPr>
        <w:t>（4）亲子鉴定证明、公安机关出具的证明材料、孕产妇住院分娩相关病历、其他应当保存的相关材料</w:t>
      </w:r>
    </w:p>
    <w:p>
      <w:pPr>
        <w:spacing w:line="360" w:lineRule="auto"/>
        <w:ind w:firstLine="482" w:firstLineChars="200"/>
        <w:rPr>
          <w:rFonts w:ascii="宋体" w:hAnsi="宋体"/>
          <w:b/>
          <w:sz w:val="24"/>
          <w:szCs w:val="24"/>
        </w:rPr>
      </w:pPr>
      <w:r>
        <w:rPr>
          <w:rFonts w:hint="eastAsia" w:ascii="宋体" w:hAnsi="宋体"/>
          <w:b/>
          <w:sz w:val="24"/>
          <w:szCs w:val="24"/>
        </w:rPr>
        <w:t>二、项目总体要求</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1、项目实施过程中严格执行以下标准及规范：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（1）《中华人民共和国档案法》；</w:t>
      </w:r>
    </w:p>
    <w:p>
      <w:pPr>
        <w:adjustRightInd w:val="0"/>
        <w:snapToGrid w:val="0"/>
        <w:spacing w:line="360" w:lineRule="auto"/>
        <w:ind w:firstLine="480" w:firstLineChars="200"/>
        <w:rPr>
          <w:rFonts w:ascii="宋体" w:hAnsi="宋体" w:cs="宋体"/>
          <w:color w:val="000000"/>
          <w:kern w:val="0"/>
          <w:sz w:val="24"/>
          <w:szCs w:val="24"/>
        </w:rPr>
      </w:pPr>
      <w:r>
        <w:rPr>
          <w:rFonts w:hint="eastAsia" w:ascii="宋体" w:hAnsi="宋体"/>
          <w:sz w:val="24"/>
          <w:szCs w:val="24"/>
        </w:rPr>
        <w:t>（2）</w:t>
      </w:r>
      <w:r>
        <w:rPr>
          <w:rFonts w:hint="eastAsia" w:ascii="宋体" w:hAnsi="宋体" w:cs="宋体"/>
          <w:color w:val="000000"/>
          <w:kern w:val="0"/>
          <w:sz w:val="24"/>
          <w:szCs w:val="24"/>
        </w:rPr>
        <w:t>《中华人民共和国保守国家秘密法》；</w:t>
      </w:r>
    </w:p>
    <w:p>
      <w:pPr>
        <w:spacing w:line="360" w:lineRule="auto"/>
        <w:ind w:firstLine="480" w:firstLineChars="200"/>
        <w:rPr>
          <w:rFonts w:ascii="宋体" w:hAnsi="宋体" w:cs="宋体"/>
          <w:sz w:val="24"/>
          <w:szCs w:val="24"/>
        </w:rPr>
      </w:pPr>
      <w:r>
        <w:rPr>
          <w:rFonts w:hint="eastAsia" w:ascii="宋体" w:hAnsi="宋体" w:cs="宋体"/>
          <w:sz w:val="24"/>
          <w:szCs w:val="24"/>
        </w:rPr>
        <w:t>（3）《文书档案案卷格式》中华人民共和国国家标准；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（4）《归档文件整理细则》（DA/T22-2015）；</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（5）《档案著录规则》（DA/T18-1999）；</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（6）《南通市文书档案电子目录录入要求》；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（7）《文书档案文件级目录数据库结构和数据交换格式》（DB32/505-2002）；</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（8）</w:t>
      </w:r>
      <w:r>
        <w:rPr>
          <w:rFonts w:hint="eastAsia" w:ascii="宋体" w:hAnsi="宋体" w:cs="宋体"/>
          <w:color w:val="000000"/>
          <w:sz w:val="24"/>
          <w:szCs w:val="24"/>
          <w:lang w:val="zh-CN"/>
        </w:rPr>
        <w:t>《南通市档案馆馆藏档案电子数据管理办法》（通档发[2008]29号）；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（9）《纸质档案数字化技术规范》（DA/T31-2017）；</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（10）《档案数字化转换操作规程》（DB32/T1894-2011）；</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（11）南通市档案馆《关于纸质档案全文数字化处理要求》。</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成交供应商需自携扫描设备并派员上门提供加工和整理服务，扫描设备性能良好，分辨率在300DPI以上；采购单位只提供安装有档案管理软件的电脑、打印机、场地、相关水电需求和必要的档案业务指导、档案原件以及数据验收，其他工作内容及责任均由成交供应商承担。</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3、项目实施过程中使用的计算机、扫描仪及其它相关设施设备只能作为本项目专用，不得将设备挪作他用或随意把不属于本项目的设备带进工作场所进行操作。</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4、成交供应商在签订合同时，应成立项目组，指定项目负责人，项目负责人必须具有档案管理相关的专业知识和专业技术证书。工作人员必须严格遵守档案管理的相关规定，自觉遵守采购单位的管理制度，作息时间与采购单位工作人员一致。中途不得随意更换工作人员，如需更换应征得采购单位同意。</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5、确保在整理（含数字化）过程中不对档案原件造成二次损伤。如因原件粘贴，不能完全做到不损伤，须先对档案原件进行备份，并将情况如实汇报给采购人。</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6、扫描前需要对档案实体的整理状况进行规范性检查，不规范的进行重新整理；对现有电子目录数据和档案实体进行校对、完善、输入；发现档案原件需要修复的要进行基本修复，无法修复的需要通知采购方协商处理。</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7、制作《档案出、入库登记表》、《纸质档案数字化流程交接单》、《数据验收报告单》等，详细记录数字化过程中每一个环节的工作情况及责任人。</w:t>
      </w:r>
    </w:p>
    <w:p>
      <w:pPr>
        <w:autoSpaceDE w:val="0"/>
        <w:autoSpaceDN w:val="0"/>
        <w:adjustRightInd w:val="0"/>
        <w:spacing w:line="360" w:lineRule="auto"/>
        <w:ind w:firstLine="472" w:firstLineChars="196"/>
        <w:rPr>
          <w:rFonts w:ascii="宋体" w:hAnsi="宋体" w:cs="宋体"/>
          <w:b/>
          <w:color w:val="000000"/>
          <w:sz w:val="24"/>
          <w:szCs w:val="24"/>
          <w:lang w:val="zh-CN"/>
        </w:rPr>
      </w:pPr>
      <w:r>
        <w:rPr>
          <w:rFonts w:hint="eastAsia" w:ascii="宋体" w:hAnsi="宋体" w:cs="宋体"/>
          <w:b/>
          <w:color w:val="000000"/>
          <w:sz w:val="24"/>
          <w:szCs w:val="24"/>
          <w:lang w:val="zh-CN"/>
        </w:rPr>
        <w:t>三、具体工作要求</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1、指派经验丰富的专业人员对采购方项目范围内的档案按进馆要求进行梳理。指派专人负责档案实体的出、入库交接工作及平时的管理。确保档案实体安全。</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2、扫描前，根据档案整理规范的要求对档案实体进行拆卷检查，发现问题及时修正（如未编页号或编制有误等）；对轻微破损的页面进行技术修复；破损严重、无法直接进行扫描的页面，应在《纸质档案数字化流程交接单》中注明并及时告之采购单位，进行协商处理；对严重折皱不平影响扫描质量的文件应先进行相应处理（压平或熨平等）。</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3、根据档案实体对电子目录进行逐条的核对与补漏，确保文档与目录的一一对应。重点检查档号（包括各组成部分）、题名、保管期限、成文日期、责任者、密级等必录项的内容是否完整、准确、规范。</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4、区分扫描件和非扫描件：重份文件、有原件的复印件等可不扫。</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5、根据档案扫描要求选择相应规格的扫描仪，图纸案卷必须使用专门的图纸扫描仪。</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6、扫描分辨率为300dpi，特殊情况，如文字偏小、密集、清晰度以及纸质状况较差等，可适当提高分辨率。</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7、扫描模式：档案的有文头和章印的纸张采用彩色、档案图纸采用彩色，其他采用黑白。</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8、扫描图像文件存储格式：原始的</w:t>
      </w:r>
      <w:r>
        <w:rPr>
          <w:rFonts w:ascii="宋体" w:hAnsi="宋体" w:cs="宋体"/>
          <w:sz w:val="24"/>
          <w:szCs w:val="24"/>
          <w:lang w:val="zh-CN"/>
        </w:rPr>
        <w:t>jpg</w:t>
      </w:r>
      <w:r>
        <w:rPr>
          <w:rFonts w:hint="eastAsia" w:ascii="宋体" w:hAnsi="宋体" w:cs="宋体"/>
          <w:sz w:val="24"/>
          <w:szCs w:val="24"/>
          <w:lang w:val="zh-CN"/>
        </w:rPr>
        <w:t>格式和经过合成的双层PDF格式两种，严格按进馆要求进行编号命名。</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9、扫描时应根据纸张质地、底色、薄厚程度等因素，设置最佳的扫描明暗度、对比度，保证档案扫描图像与原件一致、整洁、清晰。</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10、对扫描图像进行加工裁剪、去边、去污等技术处理，不留文字版面外的暗影、无干扰信息；</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11、扫描图像的倾斜度不得超出1度，不允许有折叠或缺损，保持图像的完整，图片端正、无扭曲。</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12、对扫描图像文件进行核对与检查，确保图像页面与档案原件页面一一对应，不得出现颠倒、缺页、重页或错页情况。</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13、扫描完成后，应尽可能地按照原来的装订孔进行装订，并确保文件排列顺序正确，无漏页、不压字、页面不颠倒且装订牢固。</w:t>
      </w:r>
    </w:p>
    <w:p>
      <w:pPr>
        <w:autoSpaceDE w:val="0"/>
        <w:autoSpaceDN w:val="0"/>
        <w:adjustRightInd w:val="0"/>
        <w:spacing w:line="360" w:lineRule="auto"/>
        <w:ind w:firstLine="482" w:firstLineChars="200"/>
        <w:rPr>
          <w:rFonts w:ascii="宋体" w:hAnsi="宋体" w:cs="宋体"/>
          <w:b/>
          <w:color w:val="000000"/>
          <w:sz w:val="24"/>
          <w:szCs w:val="24"/>
          <w:lang w:val="zh-CN"/>
        </w:rPr>
      </w:pPr>
      <w:r>
        <w:rPr>
          <w:rFonts w:hint="eastAsia" w:ascii="宋体" w:hAnsi="宋体" w:cs="宋体"/>
          <w:b/>
          <w:color w:val="000000"/>
          <w:sz w:val="24"/>
          <w:szCs w:val="24"/>
          <w:lang w:val="zh-CN"/>
        </w:rPr>
        <w:t>四、数据验收</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档案整理符合国家档案标准和南通市档案馆要求，确保档案顺利移交进馆，并提交一份电子版给采购人。</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特别说明，供应商应熟悉了解南通市档案局（档案馆）对进馆归档档案的相关要求，本项目实施过程中应严格遵守相关规定。因供应商原因造成本项目无法顺利验收和移交进馆，采购人有权终止合同或扣除有关费用，并保留向供应商追偿的权利。</w:t>
      </w:r>
    </w:p>
    <w:p>
      <w:pPr>
        <w:autoSpaceDE w:val="0"/>
        <w:autoSpaceDN w:val="0"/>
        <w:adjustRightInd w:val="0"/>
        <w:spacing w:line="360" w:lineRule="auto"/>
        <w:ind w:firstLine="482" w:firstLineChars="200"/>
        <w:rPr>
          <w:rFonts w:ascii="宋体" w:hAnsi="宋体" w:cs="宋体"/>
          <w:b/>
          <w:color w:val="000000"/>
          <w:sz w:val="24"/>
          <w:szCs w:val="24"/>
          <w:lang w:val="zh-CN"/>
        </w:rPr>
      </w:pPr>
      <w:r>
        <w:rPr>
          <w:rFonts w:hint="eastAsia" w:ascii="宋体" w:hAnsi="宋体" w:cs="宋体"/>
          <w:b/>
          <w:color w:val="000000"/>
          <w:sz w:val="24"/>
          <w:szCs w:val="24"/>
          <w:highlight w:val="none"/>
          <w:lang w:val="en-US" w:eastAsia="zh-CN"/>
        </w:rPr>
        <w:t>五</w:t>
      </w:r>
      <w:r>
        <w:rPr>
          <w:rFonts w:hint="eastAsia" w:ascii="宋体" w:hAnsi="宋体" w:cs="宋体"/>
          <w:b/>
          <w:color w:val="000000"/>
          <w:sz w:val="24"/>
          <w:szCs w:val="24"/>
          <w:highlight w:val="none"/>
          <w:lang w:val="zh-CN"/>
        </w:rPr>
        <w:t>、安全保</w:t>
      </w:r>
      <w:r>
        <w:rPr>
          <w:rFonts w:hint="eastAsia" w:ascii="宋体" w:hAnsi="宋体" w:cs="宋体"/>
          <w:b/>
          <w:color w:val="000000"/>
          <w:sz w:val="24"/>
          <w:szCs w:val="24"/>
          <w:lang w:val="zh-CN"/>
        </w:rPr>
        <w:t>密工作要求</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1、成交供应商需与采购人签订保证档案实体和档案信息安全的保密协议，不得截留和向第三方泄露所涉及档案、资料的内容、信息及最终形成的各类数据，确保档案信息的安全保密，若有违反，依据《中华人民共和国档案法》、《中华人民共和国保守国家秘密法》追究责任。</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2、档案数字化加工后的各种影像、资料所有权属于采购人，各种统计资料、影像资料、光盘资料、纸质资料及各种清单等在项目结束时都必须完整地向采购人移交。</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3</w:t>
      </w:r>
      <w:r>
        <w:rPr>
          <w:rFonts w:hint="eastAsia" w:ascii="宋体" w:hAnsi="宋体" w:cs="宋体"/>
          <w:sz w:val="24"/>
          <w:szCs w:val="24"/>
          <w:lang w:val="zh-CN"/>
        </w:rPr>
        <w:t>、加工现场需由成交供应商建立24小时视频监控系统，</w:t>
      </w:r>
      <w:r>
        <w:rPr>
          <w:rFonts w:hint="eastAsia" w:ascii="宋体" w:hAnsi="宋体" w:cs="宋体"/>
          <w:color w:val="000000"/>
          <w:sz w:val="24"/>
          <w:szCs w:val="24"/>
          <w:lang w:val="zh-CN"/>
        </w:rPr>
        <w:t>保证档案原件及数据安全，现场工作人员不得以任何形式将各项档案资料带出指定工作现场，不得以任何形式进行泄漏、传播；不得无故查看及讨论档案内容。</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4、工作人员未经采购人直接管理人员同意，不许私自携带任何存储设备进入或离开工作现场，本次项目涉及所有档案数据的移动存储设备以及工作站上保存加工数据的硬盘在项目验收通过时必须无偿向采购人移交。</w:t>
      </w:r>
    </w:p>
    <w:p>
      <w:pPr>
        <w:autoSpaceDE w:val="0"/>
        <w:autoSpaceDN w:val="0"/>
        <w:adjustRightInd w:val="0"/>
        <w:spacing w:line="360" w:lineRule="auto"/>
        <w:ind w:firstLine="482" w:firstLineChars="200"/>
        <w:rPr>
          <w:rFonts w:ascii="宋体" w:hAnsi="宋体" w:cs="宋体"/>
          <w:b/>
          <w:color w:val="000000"/>
          <w:sz w:val="24"/>
          <w:szCs w:val="24"/>
          <w:lang w:val="zh-CN"/>
        </w:rPr>
      </w:pPr>
      <w:r>
        <w:rPr>
          <w:rFonts w:hint="eastAsia" w:ascii="宋体" w:hAnsi="宋体" w:cs="宋体"/>
          <w:b/>
          <w:color w:val="000000"/>
          <w:sz w:val="24"/>
          <w:szCs w:val="24"/>
          <w:lang w:val="en-US" w:eastAsia="zh-CN"/>
        </w:rPr>
        <w:t>七</w:t>
      </w:r>
      <w:r>
        <w:rPr>
          <w:rFonts w:hint="eastAsia" w:ascii="宋体" w:hAnsi="宋体" w:cs="宋体"/>
          <w:b/>
          <w:color w:val="000000"/>
          <w:sz w:val="24"/>
          <w:szCs w:val="24"/>
          <w:lang w:val="zh-CN"/>
        </w:rPr>
        <w:t>、付款方式</w:t>
      </w:r>
    </w:p>
    <w:p>
      <w:pPr>
        <w:snapToGrid w:val="0"/>
        <w:spacing w:line="360" w:lineRule="auto"/>
        <w:ind w:firstLine="470" w:firstLineChars="196"/>
        <w:outlineLvl w:val="1"/>
        <w:rPr>
          <w:rFonts w:hint="eastAsia" w:ascii="宋体" w:hAnsi="宋体" w:eastAsia="宋体" w:cs="宋体"/>
          <w:sz w:val="24"/>
          <w:szCs w:val="24"/>
        </w:rPr>
      </w:pPr>
      <w:r>
        <w:rPr>
          <w:rFonts w:hint="eastAsia" w:ascii="宋体" w:hAnsi="宋体" w:cs="宋体"/>
          <w:sz w:val="24"/>
          <w:szCs w:val="24"/>
        </w:rPr>
        <w:t>成交供应商履约保证金缴纳且合同签订生效后，采购人支付合同金额的30%；在项目按时完成并</w:t>
      </w:r>
      <w:r>
        <w:rPr>
          <w:rFonts w:hint="eastAsia" w:ascii="宋体" w:hAnsi="宋体" w:cs="宋体"/>
          <w:sz w:val="24"/>
          <w:szCs w:val="24"/>
          <w:lang w:val="en-US" w:eastAsia="zh-CN"/>
        </w:rPr>
        <w:t>通过采购人和相关单位验收合格后</w:t>
      </w:r>
      <w:r>
        <w:rPr>
          <w:rFonts w:hint="eastAsia" w:ascii="宋体" w:hAnsi="宋体" w:cs="宋体"/>
          <w:sz w:val="24"/>
          <w:szCs w:val="24"/>
        </w:rPr>
        <w:t>，采购人</w:t>
      </w:r>
      <w:r>
        <w:rPr>
          <w:rFonts w:hint="eastAsia" w:ascii="宋体" w:hAnsi="宋体" w:cs="宋体"/>
          <w:sz w:val="24"/>
          <w:szCs w:val="24"/>
          <w:lang w:val="en-US" w:eastAsia="zh-CN"/>
        </w:rPr>
        <w:t>支付合同余款</w:t>
      </w:r>
      <w:r>
        <w:rPr>
          <w:rFonts w:hint="eastAsia" w:ascii="宋体" w:hAnsi="宋体" w:cs="宋体"/>
          <w:sz w:val="24"/>
          <w:szCs w:val="24"/>
        </w:rPr>
        <w:t>，并退还履约保证金（无息）</w:t>
      </w:r>
      <w:r>
        <w:rPr>
          <w:rFonts w:hint="eastAsia" w:ascii="宋体" w:hAnsi="宋体" w:cs="宋体"/>
          <w:color w:val="000000"/>
          <w:sz w:val="24"/>
          <w:szCs w:val="24"/>
        </w:rPr>
        <w:t>。</w:t>
      </w:r>
      <w:r>
        <w:rPr>
          <w:rFonts w:hint="eastAsia" w:ascii="宋体" w:hAnsi="宋体" w:eastAsia="宋体" w:cs="宋体"/>
          <w:sz w:val="24"/>
          <w:szCs w:val="24"/>
        </w:rPr>
        <w:t>成交供应商须提供相应金额且符合采购人财务制度规定的增值税发票，采购人按程序审批后支付款项。</w:t>
      </w:r>
    </w:p>
    <w:p>
      <w:pPr>
        <w:tabs>
          <w:tab w:val="left" w:pos="2020"/>
          <w:tab w:val="center" w:pos="4535"/>
        </w:tabs>
        <w:snapToGrid w:val="0"/>
        <w:spacing w:line="360" w:lineRule="auto"/>
        <w:ind w:firstLine="420" w:firstLineChars="200"/>
        <w:outlineLvl w:val="0"/>
      </w:pPr>
    </w:p>
    <w:p>
      <w:pPr>
        <w:pStyle w:val="20"/>
      </w:pPr>
    </w:p>
    <w:p>
      <w:pPr>
        <w:widowControl/>
        <w:shd w:val="clear" w:color="auto" w:fill="FFFFFF"/>
        <w:adjustRightInd w:val="0"/>
        <w:snapToGrid w:val="0"/>
        <w:spacing w:line="360" w:lineRule="auto"/>
        <w:ind w:firstLine="707" w:firstLineChars="200"/>
        <w:rPr>
          <w:rFonts w:ascii="宋体" w:hAnsi="宋体" w:cs="宋体"/>
          <w:b/>
          <w:bCs/>
          <w:color w:val="000000"/>
          <w:w w:val="80"/>
          <w:sz w:val="44"/>
          <w:szCs w:val="44"/>
        </w:rPr>
      </w:pPr>
      <w:r>
        <w:rPr>
          <w:rFonts w:ascii="宋体" w:hAnsi="宋体" w:cs="宋体"/>
          <w:b/>
          <w:bCs/>
          <w:color w:val="000000"/>
          <w:w w:val="80"/>
          <w:sz w:val="44"/>
          <w:szCs w:val="44"/>
        </w:rPr>
        <w:br w:type="page"/>
      </w:r>
    </w:p>
    <w:p>
      <w:pPr>
        <w:snapToGrid w:val="0"/>
        <w:spacing w:before="600" w:beforeLines="250" w:after="240" w:line="360" w:lineRule="auto"/>
        <w:jc w:val="center"/>
        <w:rPr>
          <w:rFonts w:ascii="宋体" w:hAnsi="宋体" w:cs="宋体"/>
          <w:b/>
          <w:bCs/>
          <w:color w:val="000000"/>
          <w:w w:val="80"/>
          <w:sz w:val="2"/>
          <w:szCs w:val="44"/>
        </w:rPr>
      </w:pPr>
    </w:p>
    <w:p>
      <w:pPr>
        <w:snapToGrid w:val="0"/>
        <w:spacing w:before="600" w:beforeLines="250" w:after="240" w:line="360" w:lineRule="auto"/>
        <w:jc w:val="center"/>
        <w:rPr>
          <w:rFonts w:ascii="宋体" w:hAnsi="宋体" w:cs="宋体"/>
          <w:b/>
          <w:bCs/>
          <w:color w:val="000000"/>
          <w:w w:val="80"/>
          <w:sz w:val="44"/>
          <w:szCs w:val="44"/>
        </w:rPr>
      </w:pPr>
      <w:r>
        <w:rPr>
          <w:rFonts w:hint="eastAsia" w:ascii="宋体" w:hAnsi="宋体" w:cs="宋体"/>
          <w:b/>
          <w:bCs/>
          <w:color w:val="000000"/>
          <w:w w:val="80"/>
          <w:sz w:val="44"/>
          <w:szCs w:val="44"/>
        </w:rPr>
        <w:t>第四章</w:t>
      </w:r>
      <w:bookmarkEnd w:id="34"/>
      <w:bookmarkEnd w:id="35"/>
      <w:bookmarkEnd w:id="36"/>
      <w:bookmarkEnd w:id="37"/>
      <w:bookmarkEnd w:id="38"/>
      <w:bookmarkEnd w:id="39"/>
      <w:bookmarkEnd w:id="40"/>
      <w:bookmarkEnd w:id="41"/>
      <w:bookmarkEnd w:id="42"/>
      <w:bookmarkEnd w:id="43"/>
      <w:bookmarkEnd w:id="44"/>
      <w:bookmarkStart w:id="46" w:name="_Toc38121794"/>
      <w:bookmarkStart w:id="47" w:name="_Toc37322565"/>
      <w:bookmarkStart w:id="48" w:name="_Toc182848996"/>
      <w:bookmarkStart w:id="49" w:name="_Toc43217893"/>
      <w:bookmarkStart w:id="50" w:name="_Toc85627670"/>
      <w:bookmarkStart w:id="51" w:name="_Toc11499587"/>
      <w:bookmarkStart w:id="52" w:name="_Toc8895742"/>
      <w:bookmarkStart w:id="53" w:name="_Toc94544873"/>
      <w:bookmarkStart w:id="54" w:name="_Toc11500283"/>
      <w:bookmarkStart w:id="55" w:name="_Toc11554642"/>
      <w:bookmarkStart w:id="56" w:name="_Toc12670506"/>
      <w:bookmarkStart w:id="57" w:name="_Toc94544747"/>
      <w:bookmarkStart w:id="58" w:name="_Toc13803484"/>
      <w:r>
        <w:rPr>
          <w:rFonts w:hint="eastAsia" w:ascii="宋体" w:hAnsi="宋体" w:cs="宋体"/>
          <w:b/>
          <w:bCs/>
          <w:color w:val="000000"/>
          <w:w w:val="80"/>
          <w:sz w:val="44"/>
          <w:szCs w:val="44"/>
        </w:rPr>
        <w:t xml:space="preserve">  评审方法和程序</w:t>
      </w:r>
      <w:bookmarkEnd w:id="45"/>
      <w:bookmarkEnd w:id="46"/>
      <w:bookmarkEnd w:id="47"/>
      <w:bookmarkEnd w:id="48"/>
      <w:bookmarkEnd w:id="49"/>
      <w:bookmarkEnd w:id="50"/>
      <w:bookmarkStart w:id="59" w:name="_Toc363573857"/>
      <w:bookmarkEnd w:id="59"/>
    </w:p>
    <w:p>
      <w:pPr>
        <w:snapToGrid w:val="0"/>
        <w:spacing w:line="360" w:lineRule="auto"/>
        <w:ind w:firstLine="482" w:firstLineChars="200"/>
        <w:outlineLvl w:val="1"/>
        <w:rPr>
          <w:rFonts w:ascii="宋体"/>
          <w:b/>
          <w:bCs/>
          <w:color w:val="000000"/>
          <w:sz w:val="24"/>
          <w:szCs w:val="24"/>
        </w:rPr>
      </w:pPr>
      <w:r>
        <w:rPr>
          <w:rFonts w:hint="eastAsia" w:ascii="宋体" w:hAnsi="宋体" w:cs="宋体"/>
          <w:b/>
          <w:bCs/>
          <w:color w:val="000000"/>
          <w:sz w:val="24"/>
          <w:szCs w:val="24"/>
        </w:rPr>
        <w:t>一、代理机构组织磋商</w:t>
      </w:r>
    </w:p>
    <w:p>
      <w:pPr>
        <w:snapToGrid w:val="0"/>
        <w:spacing w:line="360" w:lineRule="auto"/>
        <w:ind w:firstLine="480"/>
        <w:rPr>
          <w:rFonts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、本次竞争性磋商依据《中华人民共和国政府采购法》、《政府采购竞争性磋商采购方式管理暂行办法》及有关法规成立磋商小组。磋商小组由评审专家组成，评审专家3人。</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、采用竞争性磋商方式的政府采购项目，评审专家应当从政府采购评审专家库内相关专业的专家名单中随机抽取。情况特殊或通过随机方式难以确定合适的评审专家的，经财政部门同意，可以自行选定评审专家。</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）磋商小组成员在评审过程中受到非法干涉的，应当及时向财政、监委等部门举报。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）配合采购人答复供应商提出的质疑；配合财政部门的投诉处理和监督检查工作。</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、供应商的法定代表人或被授权人须持身份证原件准时参加磋商开标会。</w:t>
      </w:r>
    </w:p>
    <w:p>
      <w:pPr>
        <w:snapToGrid w:val="0"/>
        <w:spacing w:line="360" w:lineRule="auto"/>
        <w:ind w:firstLine="482" w:firstLineChars="200"/>
        <w:outlineLvl w:val="1"/>
        <w:rPr>
          <w:rFonts w:ascii="宋体"/>
          <w:b/>
          <w:bCs/>
          <w:color w:val="000000"/>
          <w:sz w:val="24"/>
          <w:szCs w:val="24"/>
        </w:rPr>
      </w:pPr>
      <w:r>
        <w:rPr>
          <w:rFonts w:hint="eastAsia" w:ascii="宋体" w:hAnsi="宋体" w:cs="宋体"/>
          <w:b/>
          <w:bCs/>
          <w:color w:val="000000"/>
          <w:sz w:val="24"/>
          <w:szCs w:val="24"/>
        </w:rPr>
        <w:t>二、磋商的原则及方法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磋商文件的规定，独立对每个进入评分程序的有效磋商响应供应商的响应文件的技术标、商务标以打分的形式进行评审。技术分是所有磋商小组成员打分的算术平均值（计算结果均四舍五入保留两位小数），商务分是磋商小组计算产生（计算结果均四舍五入保留两位小数）。</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、在磋商过程中，磋商小组可以根据磋商文件和磋商情况实质性变动项目需求中的技术、服务要求以及合同草案条款，但不得变动磋商文件中的其他内容。实质性变动的内容，须经采购人代表确认。</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、对磋商确定的最终采购需求和提交最后报价的供应商：磋商文件能够详细列明采购标的的技术、服务要求，磋商结束后，磋商小组应当要求所有实质性响应的供应商在规定时间内提交最后报价。</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、除非在磋商中磋商小组对采购人需求内容作了增加，或对项目需求作了实质性变更，否则</w:t>
      </w:r>
      <w:r>
        <w:rPr>
          <w:rFonts w:hint="eastAsia" w:ascii="宋体" w:hAnsi="宋体" w:cs="宋体"/>
          <w:b/>
          <w:bCs/>
          <w:sz w:val="24"/>
          <w:szCs w:val="24"/>
        </w:rPr>
        <w:t>采购人不接受供应商高于自己前一轮的磋商报价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snapToGrid w:val="0"/>
        <w:spacing w:line="360" w:lineRule="auto"/>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ascii="宋体" w:hAnsi="宋体" w:cs="宋体"/>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360" w:lineRule="auto"/>
        <w:ind w:firstLine="482" w:firstLineChars="200"/>
        <w:rPr>
          <w:rFonts w:ascii="宋体"/>
          <w:b/>
          <w:bCs/>
          <w:sz w:val="24"/>
          <w:szCs w:val="24"/>
        </w:rPr>
      </w:pPr>
      <w:r>
        <w:rPr>
          <w:rFonts w:hint="eastAsia" w:ascii="宋体" w:hAnsi="宋体" w:cs="宋体"/>
          <w:b/>
          <w:bCs/>
          <w:sz w:val="24"/>
          <w:szCs w:val="24"/>
        </w:rPr>
        <w:t>三、磋商步骤</w:t>
      </w:r>
    </w:p>
    <w:p>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、磋商步骤规定：</w:t>
      </w:r>
    </w:p>
    <w:p>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本次资格审查采用资格后审，各供应商资格审查通过后方能进入技术标的评审。先技术标评审后再评审商务标。</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对每个符合资格要求的供应商的技术标进行评估。主要审查技术标提交的内容是否齐全，技术方案及项目实施是否完全满足采购文件的要求。磋商小组严格按照磋商文件的要求、条件、评分标准，对供应商所提供服务方案的合理性、可行性、质量保证承诺等实质性响应内容进行比较。</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对每个符合资格要求的供应商的商务标评审，以供应商商务标文件内的</w:t>
      </w:r>
      <w:r>
        <w:rPr>
          <w:rFonts w:hint="eastAsia" w:ascii="宋体" w:hAnsi="宋体" w:cs="宋体"/>
          <w:sz w:val="24"/>
          <w:szCs w:val="24"/>
        </w:rPr>
        <w:t>竞争性磋商响应</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w:t>
      </w:r>
      <w:r>
        <w:rPr>
          <w:rFonts w:hint="eastAsia" w:ascii="宋体" w:hAnsi="宋体" w:cs="宋体"/>
          <w:sz w:val="24"/>
          <w:szCs w:val="24"/>
        </w:rPr>
        <w:t>磋商</w:t>
      </w:r>
      <w:r>
        <w:rPr>
          <w:rFonts w:hint="eastAsia" w:ascii="宋体" w:hAnsi="宋体" w:cs="宋体"/>
          <w:sz w:val="24"/>
          <w:szCs w:val="24"/>
          <w:lang w:val="zh-CN"/>
        </w:rPr>
        <w:t>明确各供应商符合并满足磋商文件要求，并能完全响应</w:t>
      </w:r>
      <w:r>
        <w:rPr>
          <w:rFonts w:hint="eastAsia" w:ascii="宋体" w:hAnsi="宋体" w:cs="宋体"/>
          <w:sz w:val="24"/>
          <w:szCs w:val="24"/>
        </w:rPr>
        <w:t>磋商</w:t>
      </w:r>
      <w:r>
        <w:rPr>
          <w:rFonts w:hint="eastAsia" w:ascii="宋体" w:hAnsi="宋体" w:cs="宋体"/>
          <w:sz w:val="24"/>
          <w:szCs w:val="24"/>
          <w:lang w:val="zh-CN"/>
        </w:rPr>
        <w:t>内容后，要求其二次（</w:t>
      </w:r>
      <w:r>
        <w:rPr>
          <w:rFonts w:hint="eastAsia" w:ascii="宋体" w:hAnsi="宋体" w:cs="宋体"/>
          <w:sz w:val="24"/>
          <w:szCs w:val="24"/>
        </w:rPr>
        <w:t>最终</w:t>
      </w:r>
      <w:r>
        <w:rPr>
          <w:rFonts w:hint="eastAsia" w:ascii="宋体" w:hAnsi="宋体" w:cs="宋体"/>
          <w:sz w:val="24"/>
          <w:szCs w:val="24"/>
          <w:lang w:val="zh-CN"/>
        </w:rPr>
        <w:t>）报价。如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第四阶段：二次（</w:t>
      </w:r>
      <w:r>
        <w:rPr>
          <w:rFonts w:hint="eastAsia" w:ascii="宋体" w:hAnsi="宋体" w:cs="宋体"/>
          <w:sz w:val="24"/>
          <w:szCs w:val="24"/>
        </w:rPr>
        <w:t>最终</w:t>
      </w:r>
      <w:r>
        <w:rPr>
          <w:rFonts w:hint="eastAsia" w:ascii="宋体" w:hAnsi="宋体" w:cs="宋体"/>
          <w:sz w:val="24"/>
          <w:szCs w:val="24"/>
          <w:lang w:val="zh-CN"/>
        </w:rPr>
        <w:t>）报价。分别单一</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现场集体独立给出最终报价，同时最终报价中可包括但不限于如最终澄清方案、有关优惠承诺等。</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第五阶段：</w:t>
      </w:r>
    </w:p>
    <w:p>
      <w:pPr>
        <w:snapToGrid w:val="0"/>
        <w:spacing w:line="360" w:lineRule="auto"/>
        <w:ind w:firstLine="480" w:firstLineChars="200"/>
        <w:rPr>
          <w:rFonts w:ascii="宋体"/>
          <w:color w:val="000000"/>
          <w:sz w:val="24"/>
          <w:szCs w:val="24"/>
          <w:lang w:val="zh-CN"/>
        </w:rPr>
      </w:pPr>
      <w:r>
        <w:rPr>
          <w:rFonts w:hint="eastAsia" w:ascii="宋体" w:hAnsi="宋体" w:cs="宋体"/>
          <w:sz w:val="24"/>
          <w:szCs w:val="24"/>
          <w:lang w:val="zh-CN"/>
        </w:rPr>
        <w:t>1、</w:t>
      </w:r>
      <w:r>
        <w:rPr>
          <w:rFonts w:hint="eastAsia" w:ascii="宋体" w:hAnsi="宋体" w:cs="宋体"/>
          <w:sz w:val="24"/>
          <w:szCs w:val="24"/>
        </w:rPr>
        <w:t>磋商小组</w:t>
      </w:r>
      <w:r>
        <w:rPr>
          <w:rFonts w:hint="eastAsia" w:ascii="宋体" w:hAnsi="宋体" w:cs="宋体"/>
          <w:sz w:val="24"/>
          <w:szCs w:val="24"/>
          <w:lang w:val="zh-CN"/>
        </w:rPr>
        <w:t>对供应商的最终报价评审，在实质性响应</w:t>
      </w:r>
      <w:r>
        <w:rPr>
          <w:rFonts w:hint="eastAsia" w:ascii="宋体" w:hAnsi="宋体" w:cs="宋体"/>
          <w:sz w:val="24"/>
          <w:szCs w:val="24"/>
        </w:rPr>
        <w:t>竞争性磋商</w:t>
      </w:r>
      <w:r>
        <w:rPr>
          <w:rFonts w:hint="eastAsia" w:ascii="宋体" w:hAnsi="宋体" w:cs="宋体"/>
          <w:sz w:val="24"/>
          <w:szCs w:val="24"/>
          <w:lang w:val="zh-CN"/>
        </w:rPr>
        <w:t>文件，技术标和商务标部</w:t>
      </w:r>
      <w:r>
        <w:rPr>
          <w:rFonts w:hint="eastAsia" w:ascii="宋体" w:hAnsi="宋体" w:cs="宋体"/>
          <w:color w:val="000000"/>
          <w:sz w:val="24"/>
          <w:szCs w:val="24"/>
          <w:lang w:val="zh-CN"/>
        </w:rPr>
        <w:t>分都能满足</w:t>
      </w:r>
      <w:r>
        <w:rPr>
          <w:rFonts w:hint="eastAsia" w:ascii="宋体" w:hAnsi="宋体" w:cs="宋体"/>
          <w:color w:val="000000"/>
          <w:sz w:val="24"/>
          <w:szCs w:val="24"/>
        </w:rPr>
        <w:t>竞争性磋商</w:t>
      </w:r>
      <w:r>
        <w:rPr>
          <w:rFonts w:hint="eastAsia" w:ascii="宋体" w:hAnsi="宋体" w:cs="宋体"/>
          <w:color w:val="000000"/>
          <w:sz w:val="24"/>
          <w:szCs w:val="24"/>
          <w:lang w:val="zh-CN"/>
        </w:rPr>
        <w:t>文件的前提下，</w:t>
      </w:r>
      <w:r>
        <w:rPr>
          <w:rFonts w:hint="eastAsia" w:ascii="宋体" w:hAnsi="宋体" w:cs="宋体"/>
          <w:color w:val="000000"/>
          <w:sz w:val="24"/>
          <w:szCs w:val="24"/>
        </w:rPr>
        <w:t>磋商小组</w:t>
      </w:r>
      <w:r>
        <w:rPr>
          <w:rFonts w:hint="eastAsia" w:ascii="宋体" w:hAnsi="宋体" w:cs="宋体"/>
          <w:color w:val="000000"/>
          <w:sz w:val="24"/>
          <w:szCs w:val="24"/>
          <w:lang w:val="zh-CN"/>
        </w:rPr>
        <w:t>将校核后的各供应商的报价从低到高排序（</w:t>
      </w:r>
      <w:r>
        <w:rPr>
          <w:rFonts w:hint="eastAsia" w:ascii="宋体" w:hAnsi="宋体" w:cs="宋体"/>
          <w:color w:val="000000"/>
          <w:sz w:val="24"/>
          <w:szCs w:val="24"/>
        </w:rPr>
        <w:t>明显低于成本的，且供应商不能合理说明或者不能提供相关证明材料的报价除外）</w:t>
      </w:r>
      <w:r>
        <w:rPr>
          <w:rFonts w:hint="eastAsia" w:ascii="宋体" w:hAnsi="宋体" w:cs="宋体"/>
          <w:color w:val="000000"/>
          <w:sz w:val="24"/>
          <w:szCs w:val="24"/>
          <w:lang w:val="zh-CN"/>
        </w:rPr>
        <w:t>。</w:t>
      </w:r>
    </w:p>
    <w:p>
      <w:pPr>
        <w:snapToGrid w:val="0"/>
        <w:spacing w:line="360" w:lineRule="auto"/>
        <w:ind w:firstLine="480" w:firstLineChars="200"/>
        <w:rPr>
          <w:rFonts w:ascii="宋体"/>
          <w:color w:val="000000"/>
          <w:sz w:val="24"/>
          <w:szCs w:val="24"/>
        </w:rPr>
      </w:pPr>
      <w:r>
        <w:rPr>
          <w:rFonts w:ascii="宋体" w:hAnsi="宋体" w:cs="宋体"/>
          <w:color w:val="000000"/>
          <w:sz w:val="24"/>
          <w:szCs w:val="24"/>
          <w:lang w:val="zh-CN"/>
        </w:rPr>
        <w:t>2</w:t>
      </w:r>
      <w:r>
        <w:rPr>
          <w:rFonts w:hint="eastAsia" w:ascii="宋体" w:hAnsi="宋体" w:cs="宋体"/>
          <w:color w:val="000000"/>
          <w:sz w:val="24"/>
          <w:szCs w:val="24"/>
          <w:lang w:val="zh-CN"/>
        </w:rPr>
        <w:t>、在</w:t>
      </w:r>
      <w:r>
        <w:rPr>
          <w:rFonts w:hint="eastAsia" w:ascii="宋体" w:hAnsi="宋体" w:cs="宋体"/>
          <w:color w:val="000000"/>
          <w:sz w:val="24"/>
          <w:szCs w:val="24"/>
        </w:rPr>
        <w:t>磋商</w:t>
      </w:r>
      <w:r>
        <w:rPr>
          <w:rFonts w:hint="eastAsia" w:ascii="宋体" w:hAnsi="宋体" w:cs="宋体"/>
          <w:color w:val="000000"/>
          <w:sz w:val="24"/>
          <w:szCs w:val="24"/>
          <w:lang w:val="zh-CN"/>
        </w:rPr>
        <w:t>过程中，供应商提交的澄清和最终报价，由供应商法定代表人或被授权人签字盖章后生效，供应商受其约束。</w:t>
      </w:r>
    </w:p>
    <w:p>
      <w:pPr>
        <w:snapToGrid w:val="0"/>
        <w:spacing w:line="360" w:lineRule="auto"/>
        <w:ind w:firstLine="482" w:firstLineChars="200"/>
        <w:outlineLvl w:val="1"/>
        <w:rPr>
          <w:rFonts w:ascii="宋体"/>
          <w:b/>
          <w:bCs/>
          <w:color w:val="000000"/>
          <w:sz w:val="24"/>
          <w:szCs w:val="24"/>
        </w:rPr>
      </w:pPr>
      <w:r>
        <w:rPr>
          <w:rFonts w:hint="eastAsia" w:ascii="宋体" w:hAnsi="宋体" w:cs="宋体"/>
          <w:b/>
          <w:bCs/>
          <w:color w:val="000000"/>
          <w:sz w:val="24"/>
          <w:szCs w:val="24"/>
        </w:rPr>
        <w:t>四、磋商评定原则</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Cs/>
          <w:sz w:val="24"/>
          <w:szCs w:val="24"/>
        </w:rPr>
        <w:t>经磋商确定最终采购需求和最终报价的供应商后，</w:t>
      </w:r>
      <w:r>
        <w:rPr>
          <w:rFonts w:hint="eastAsia" w:ascii="宋体" w:hAnsi="宋体" w:cs="宋体"/>
          <w:sz w:val="24"/>
          <w:szCs w:val="24"/>
        </w:rPr>
        <w:t>由磋商小组采用综合评分法</w:t>
      </w:r>
      <w:r>
        <w:rPr>
          <w:rFonts w:hint="eastAsia" w:ascii="宋体" w:hAnsi="宋体" w:cs="宋体"/>
          <w:bCs/>
          <w:sz w:val="24"/>
          <w:szCs w:val="24"/>
        </w:rPr>
        <w:t>对提交最终报价的供应商的响应文件和最后报价</w:t>
      </w:r>
      <w:r>
        <w:rPr>
          <w:rFonts w:hint="eastAsia" w:ascii="宋体" w:hAnsi="宋体" w:cs="宋体"/>
          <w:sz w:val="24"/>
          <w:szCs w:val="24"/>
        </w:rPr>
        <w:t>进行综合评分。</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、磋商小组各成员应当独立对每个有效响应的文件进行评审，之后汇总每个供应商每项评分因素的得分（计算结果均四舍五入保留两位小数）。</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、本项目磋商的技术</w:t>
      </w:r>
      <w:r>
        <w:rPr>
          <w:rFonts w:hint="eastAsia" w:ascii="宋体" w:hAnsi="宋体" w:cs="宋体"/>
          <w:kern w:val="0"/>
          <w:sz w:val="24"/>
          <w:szCs w:val="24"/>
        </w:rPr>
        <w:t>标</w:t>
      </w:r>
      <w:r>
        <w:rPr>
          <w:rFonts w:hint="eastAsia" w:ascii="宋体" w:hAnsi="宋体" w:cs="宋体"/>
          <w:sz w:val="24"/>
          <w:szCs w:val="24"/>
        </w:rPr>
        <w:t>和商务标评审满分值为</w:t>
      </w:r>
      <w:r>
        <w:rPr>
          <w:rFonts w:ascii="宋体" w:hAnsi="宋体" w:cs="宋体"/>
          <w:sz w:val="24"/>
          <w:szCs w:val="24"/>
        </w:rPr>
        <w:t>100</w:t>
      </w:r>
      <w:r>
        <w:rPr>
          <w:rFonts w:hint="eastAsia" w:ascii="宋体" w:hAnsi="宋体" w:cs="宋体"/>
          <w:sz w:val="24"/>
          <w:szCs w:val="24"/>
        </w:rPr>
        <w:t>分。两部分评审因素比重如下：</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技术标分值占总分值的比重为</w:t>
      </w:r>
      <w:r>
        <w:rPr>
          <w:rFonts w:hint="eastAsia" w:ascii="宋体" w:hAnsi="宋体" w:cs="宋体"/>
          <w:kern w:val="0"/>
          <w:sz w:val="24"/>
          <w:szCs w:val="24"/>
          <w:u w:val="single"/>
        </w:rPr>
        <w:t>7</w:t>
      </w:r>
      <w:r>
        <w:rPr>
          <w:rFonts w:ascii="宋体" w:hAnsi="宋体" w:cs="宋体"/>
          <w:kern w:val="0"/>
          <w:sz w:val="24"/>
          <w:szCs w:val="24"/>
          <w:u w:val="single"/>
        </w:rPr>
        <w:t>0%</w:t>
      </w:r>
      <w:r>
        <w:rPr>
          <w:rFonts w:hint="eastAsia" w:ascii="宋体" w:hAnsi="宋体" w:cs="宋体"/>
          <w:kern w:val="0"/>
          <w:sz w:val="24"/>
          <w:szCs w:val="24"/>
          <w:u w:val="single"/>
        </w:rPr>
        <w:t>（权重）</w:t>
      </w:r>
      <w:r>
        <w:rPr>
          <w:rFonts w:hint="eastAsia" w:ascii="宋体" w:hAnsi="宋体" w:cs="宋体"/>
          <w:kern w:val="0"/>
          <w:sz w:val="24"/>
          <w:szCs w:val="24"/>
        </w:rPr>
        <w:t>；</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商务标分值占总分值的比重为</w:t>
      </w:r>
      <w:r>
        <w:rPr>
          <w:rFonts w:hint="eastAsia" w:ascii="宋体" w:hAnsi="宋体" w:cs="宋体"/>
          <w:kern w:val="0"/>
          <w:sz w:val="24"/>
          <w:szCs w:val="24"/>
          <w:u w:val="single"/>
        </w:rPr>
        <w:t>3</w:t>
      </w:r>
      <w:r>
        <w:rPr>
          <w:rFonts w:ascii="宋体" w:hAnsi="宋体" w:cs="宋体"/>
          <w:kern w:val="0"/>
          <w:sz w:val="24"/>
          <w:szCs w:val="24"/>
          <w:u w:val="single"/>
        </w:rPr>
        <w:t>0%</w:t>
      </w:r>
      <w:r>
        <w:rPr>
          <w:rFonts w:hint="eastAsia" w:ascii="宋体" w:hAnsi="宋体" w:cs="宋体"/>
          <w:kern w:val="0"/>
          <w:sz w:val="24"/>
          <w:szCs w:val="24"/>
          <w:u w:val="single"/>
        </w:rPr>
        <w:t>（权重）</w:t>
      </w:r>
      <w:r>
        <w:rPr>
          <w:rFonts w:hint="eastAsia" w:ascii="宋体" w:hAnsi="宋体" w:cs="宋体"/>
          <w:kern w:val="0"/>
          <w:sz w:val="24"/>
          <w:szCs w:val="24"/>
        </w:rPr>
        <w:t>。</w:t>
      </w:r>
    </w:p>
    <w:p>
      <w:pPr>
        <w:snapToGrid w:val="0"/>
        <w:spacing w:line="360" w:lineRule="auto"/>
        <w:ind w:firstLine="480" w:firstLineChars="200"/>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标分值为所有磋商小组各成员打分的算术平均值，计算</w:t>
      </w:r>
      <w:r>
        <w:rPr>
          <w:rFonts w:hint="eastAsia" w:ascii="宋体" w:hAnsi="宋体" w:cs="宋体"/>
          <w:sz w:val="24"/>
          <w:szCs w:val="24"/>
        </w:rPr>
        <w:t>结果均四舍五入保留两位小数。</w:t>
      </w:r>
    </w:p>
    <w:p>
      <w:pPr>
        <w:snapToGrid w:val="0"/>
        <w:spacing w:line="360" w:lineRule="auto"/>
        <w:ind w:firstLine="480" w:firstLineChars="200"/>
        <w:rPr>
          <w:color w:val="000000"/>
        </w:rPr>
      </w:pPr>
      <w:r>
        <w:rPr>
          <w:rFonts w:ascii="宋体" w:hAnsi="宋体" w:cs="宋体"/>
          <w:sz w:val="24"/>
          <w:szCs w:val="24"/>
        </w:rPr>
        <w:t>5</w:t>
      </w:r>
      <w:r>
        <w:rPr>
          <w:rFonts w:hint="eastAsia" w:ascii="宋体" w:hAnsi="宋体" w:cs="宋体"/>
          <w:sz w:val="24"/>
          <w:szCs w:val="24"/>
        </w:rPr>
        <w:t>、商务标分值统一采用低价优先法计算直接取得，与技术</w:t>
      </w:r>
      <w:r>
        <w:rPr>
          <w:rFonts w:hint="eastAsia" w:ascii="宋体" w:hAnsi="宋体" w:cs="宋体"/>
          <w:kern w:val="0"/>
          <w:sz w:val="24"/>
          <w:szCs w:val="24"/>
        </w:rPr>
        <w:t>标</w:t>
      </w:r>
      <w:r>
        <w:rPr>
          <w:rFonts w:hint="eastAsia" w:ascii="宋体" w:hAnsi="宋体" w:cs="宋体"/>
          <w:sz w:val="24"/>
          <w:szCs w:val="24"/>
        </w:rPr>
        <w:t>分值相加为供</w:t>
      </w:r>
      <w:r>
        <w:rPr>
          <w:rFonts w:hint="eastAsia" w:ascii="宋体" w:hAnsi="宋体" w:cs="宋体"/>
          <w:color w:val="000000"/>
          <w:sz w:val="24"/>
          <w:szCs w:val="24"/>
        </w:rPr>
        <w:t>应商的综合得分（四舍五入保留两位小数）。</w:t>
      </w:r>
    </w:p>
    <w:p>
      <w:pPr>
        <w:snapToGrid w:val="0"/>
        <w:spacing w:line="360" w:lineRule="auto"/>
        <w:ind w:firstLine="460" w:firstLineChars="192"/>
        <w:rPr>
          <w:rFonts w:ascii="宋体"/>
          <w:color w:val="000000"/>
          <w:kern w:val="0"/>
          <w:sz w:val="24"/>
          <w:szCs w:val="24"/>
        </w:rPr>
      </w:pPr>
      <w:r>
        <w:rPr>
          <w:rFonts w:ascii="宋体" w:hAnsi="宋体" w:cs="宋体"/>
          <w:color w:val="000000"/>
          <w:sz w:val="24"/>
          <w:szCs w:val="24"/>
        </w:rPr>
        <w:t>6</w:t>
      </w:r>
      <w:r>
        <w:rPr>
          <w:rFonts w:hint="eastAsia" w:ascii="宋体" w:hAnsi="宋体" w:cs="宋体"/>
          <w:color w:val="000000"/>
          <w:sz w:val="24"/>
          <w:szCs w:val="24"/>
        </w:rPr>
        <w:t>、</w:t>
      </w:r>
      <w:r>
        <w:rPr>
          <w:rFonts w:hint="eastAsia" w:ascii="宋体" w:hAnsi="宋体" w:cs="宋体"/>
          <w:color w:val="000000"/>
          <w:kern w:val="0"/>
          <w:sz w:val="24"/>
          <w:szCs w:val="24"/>
        </w:rPr>
        <w:t>综合得分最高的供应商推荐为项目预成交供应商并出具评审磋商报告。</w:t>
      </w:r>
    </w:p>
    <w:p>
      <w:pPr>
        <w:snapToGrid w:val="0"/>
        <w:spacing w:line="360" w:lineRule="auto"/>
        <w:ind w:firstLine="480" w:firstLineChars="200"/>
        <w:outlineLvl w:val="1"/>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）若总分相同，则按最终报价低者优先成交。</w:t>
      </w:r>
    </w:p>
    <w:p>
      <w:pPr>
        <w:snapToGrid w:val="0"/>
        <w:spacing w:line="360" w:lineRule="auto"/>
        <w:ind w:firstLine="480" w:firstLineChars="200"/>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）若总分且最终报价相同，则采取采购人代表现场抽签的方式确定（由供应商按递交响应文件签到顺序号抽签确定）。</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、磋商评审时，磋商小组对评审的细则若有争议，由磋商小组集体讨论确定，并对未尽情况有最终解释权。</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360" w:lineRule="auto"/>
        <w:ind w:firstLine="487" w:firstLineChars="202"/>
        <w:outlineLvl w:val="1"/>
        <w:rPr>
          <w:b/>
          <w:bCs/>
          <w:sz w:val="24"/>
          <w:szCs w:val="24"/>
        </w:rPr>
      </w:pPr>
      <w:r>
        <w:rPr>
          <w:rFonts w:hint="eastAsia" w:cs="宋体"/>
          <w:b/>
          <w:bCs/>
          <w:sz w:val="24"/>
          <w:szCs w:val="24"/>
        </w:rPr>
        <w:t>五、商务标评审</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1、针对报价实质响应的评审</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磋商小组会将审查每份磋商响应文件的响应报价是否实质上响应了磋商文件的要求。实质上响应的磋商响应应该是与磋商文件要求的全部条款、条件和规格相符，没有重大偏离或保留。所谓重大偏离或保留是指实质上影响合同的供应范围、质量和性能、服务，或者实质上与磋商文件的要求不一致。纠正这些偏离或保留将会对其他实质上响应要求的供应商的竞争地位产生不公正的影响。如未实质上响应，则按无效响应处理。</w:t>
      </w:r>
    </w:p>
    <w:p>
      <w:pPr>
        <w:pStyle w:val="2"/>
        <w:ind w:firstLine="480"/>
        <w:rPr>
          <w:rFonts w:ascii="宋体" w:hAnsi="宋体" w:cs="宋体"/>
          <w:sz w:val="24"/>
          <w:szCs w:val="24"/>
        </w:rPr>
      </w:pPr>
      <w:r>
        <w:rPr>
          <w:rFonts w:hint="eastAsia" w:ascii="宋体" w:hAnsi="宋体" w:cs="宋体"/>
          <w:sz w:val="24"/>
          <w:szCs w:val="24"/>
        </w:rPr>
        <w:t>2、针对报价合理性的评审</w:t>
      </w:r>
    </w:p>
    <w:p>
      <w:pPr>
        <w:snapToGrid w:val="0"/>
        <w:spacing w:line="360" w:lineRule="auto"/>
        <w:ind w:firstLine="484" w:firstLineChars="202"/>
        <w:jc w:val="left"/>
        <w:rPr>
          <w:rFonts w:ascii="宋体"/>
          <w:b/>
          <w:bCs/>
          <w:sz w:val="24"/>
          <w:szCs w:val="24"/>
        </w:rPr>
      </w:pPr>
      <w:r>
        <w:rPr>
          <w:rFonts w:hint="eastAsia" w:ascii="宋体" w:hAnsi="宋体" w:cs="宋体"/>
          <w:sz w:val="24"/>
          <w:szCs w:val="24"/>
        </w:rPr>
        <w:t>磋商小组认为磋商响应供应商的报价明显低于其他通过符合性审查供应商的报价，有可能影响合同供应范围、质量、性能和服务或者不能诚信履约的，应当要求其在评标现场合理的时间内提供书面说明，必要时提交相关证明材料；供应商不能证明其报价合理性的，磋商小组会应当将其作为无效响应处理。</w:t>
      </w:r>
    </w:p>
    <w:p>
      <w:pPr>
        <w:snapToGrid w:val="0"/>
        <w:spacing w:line="360" w:lineRule="auto"/>
        <w:ind w:firstLine="482" w:firstLineChars="200"/>
        <w:outlineLvl w:val="1"/>
        <w:rPr>
          <w:rFonts w:ascii="宋体"/>
          <w:b/>
          <w:bCs/>
          <w:sz w:val="24"/>
          <w:szCs w:val="24"/>
        </w:rPr>
      </w:pPr>
      <w:r>
        <w:rPr>
          <w:rFonts w:hint="eastAsia" w:ascii="宋体" w:hAnsi="宋体" w:cs="宋体"/>
          <w:b/>
          <w:bCs/>
          <w:color w:val="000000"/>
          <w:sz w:val="24"/>
          <w:szCs w:val="24"/>
        </w:rPr>
        <w:t>六、评标办法</w:t>
      </w:r>
    </w:p>
    <w:bookmarkEnd w:id="51"/>
    <w:bookmarkEnd w:id="52"/>
    <w:bookmarkEnd w:id="53"/>
    <w:bookmarkEnd w:id="54"/>
    <w:bookmarkEnd w:id="55"/>
    <w:bookmarkEnd w:id="56"/>
    <w:bookmarkEnd w:id="57"/>
    <w:bookmarkEnd w:id="58"/>
    <w:p>
      <w:pPr>
        <w:snapToGrid w:val="0"/>
        <w:spacing w:line="360" w:lineRule="auto"/>
        <w:ind w:firstLine="487" w:firstLineChars="202"/>
        <w:rPr>
          <w:rFonts w:ascii="宋体" w:hAnsi="宋体" w:cs="宋体"/>
          <w:b/>
          <w:kern w:val="0"/>
          <w:sz w:val="24"/>
          <w:szCs w:val="24"/>
        </w:rPr>
      </w:pPr>
      <w:bookmarkStart w:id="60" w:name="_Toc94585343"/>
      <w:bookmarkStart w:id="61" w:name="_Toc363573858"/>
      <w:r>
        <w:rPr>
          <w:rFonts w:hint="eastAsia" w:ascii="宋体" w:hAnsi="宋体" w:cs="宋体"/>
          <w:b/>
          <w:kern w:val="0"/>
          <w:sz w:val="24"/>
          <w:szCs w:val="24"/>
        </w:rPr>
        <w:t>（一）技术标（满分70分）：</w:t>
      </w:r>
    </w:p>
    <w:tbl>
      <w:tblPr>
        <w:tblStyle w:val="51"/>
        <w:tblW w:w="952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6"/>
        <w:gridCol w:w="7086"/>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26" w:type="dxa"/>
            <w:tcBorders>
              <w:tl2br w:val="nil"/>
              <w:tr2bl w:val="nil"/>
            </w:tcBorders>
            <w:vAlign w:val="center"/>
          </w:tcPr>
          <w:p>
            <w:pPr>
              <w:widowControl/>
              <w:spacing w:line="360" w:lineRule="auto"/>
              <w:jc w:val="center"/>
              <w:rPr>
                <w:rFonts w:ascii="宋体" w:hAnsi="宋体" w:cs="宋体"/>
                <w:bCs/>
                <w:kern w:val="0"/>
                <w:sz w:val="24"/>
                <w:szCs w:val="24"/>
              </w:rPr>
            </w:pPr>
            <w:r>
              <w:rPr>
                <w:rFonts w:hint="eastAsia" w:ascii="宋体" w:hAnsi="宋体" w:cs="宋体"/>
                <w:bCs/>
                <w:kern w:val="0"/>
                <w:sz w:val="24"/>
                <w:szCs w:val="24"/>
              </w:rPr>
              <w:t>序号</w:t>
            </w:r>
          </w:p>
        </w:tc>
        <w:tc>
          <w:tcPr>
            <w:tcW w:w="1276" w:type="dxa"/>
            <w:tcBorders>
              <w:tl2br w:val="nil"/>
              <w:tr2bl w:val="nil"/>
            </w:tcBorders>
            <w:vAlign w:val="center"/>
          </w:tcPr>
          <w:p>
            <w:pPr>
              <w:widowControl/>
              <w:spacing w:line="360" w:lineRule="auto"/>
              <w:jc w:val="center"/>
              <w:rPr>
                <w:rFonts w:ascii="宋体" w:hAnsi="宋体" w:cs="宋体"/>
                <w:bCs/>
                <w:kern w:val="0"/>
                <w:sz w:val="24"/>
                <w:szCs w:val="24"/>
              </w:rPr>
            </w:pPr>
            <w:r>
              <w:rPr>
                <w:rFonts w:hint="eastAsia" w:ascii="宋体" w:hAnsi="宋体" w:cs="宋体"/>
                <w:bCs/>
                <w:kern w:val="0"/>
                <w:sz w:val="24"/>
                <w:szCs w:val="24"/>
              </w:rPr>
              <w:t>评分</w:t>
            </w:r>
          </w:p>
          <w:p>
            <w:pPr>
              <w:widowControl/>
              <w:spacing w:line="360" w:lineRule="auto"/>
              <w:jc w:val="center"/>
              <w:rPr>
                <w:rFonts w:ascii="宋体" w:hAnsi="宋体" w:cs="宋体"/>
                <w:bCs/>
                <w:kern w:val="0"/>
                <w:sz w:val="24"/>
                <w:szCs w:val="24"/>
              </w:rPr>
            </w:pPr>
            <w:r>
              <w:rPr>
                <w:rFonts w:hint="eastAsia" w:ascii="宋体" w:hAnsi="宋体" w:cs="宋体"/>
                <w:bCs/>
                <w:kern w:val="0"/>
                <w:sz w:val="24"/>
                <w:szCs w:val="24"/>
              </w:rPr>
              <w:t>项目</w:t>
            </w:r>
          </w:p>
        </w:tc>
        <w:tc>
          <w:tcPr>
            <w:tcW w:w="7086" w:type="dxa"/>
            <w:tcBorders>
              <w:tl2br w:val="nil"/>
              <w:tr2bl w:val="nil"/>
            </w:tcBorders>
            <w:vAlign w:val="center"/>
          </w:tcPr>
          <w:p>
            <w:pPr>
              <w:widowControl/>
              <w:spacing w:line="360" w:lineRule="auto"/>
              <w:jc w:val="center"/>
              <w:rPr>
                <w:rFonts w:ascii="宋体" w:hAnsi="宋体" w:cs="宋体"/>
                <w:bCs/>
                <w:kern w:val="0"/>
                <w:sz w:val="24"/>
                <w:szCs w:val="24"/>
              </w:rPr>
            </w:pPr>
            <w:r>
              <w:rPr>
                <w:rFonts w:hint="eastAsia" w:ascii="宋体" w:hAnsi="宋体" w:cs="宋体"/>
                <w:bCs/>
                <w:kern w:val="0"/>
                <w:sz w:val="24"/>
                <w:szCs w:val="24"/>
              </w:rPr>
              <w:t>评审标准</w:t>
            </w:r>
          </w:p>
        </w:tc>
        <w:tc>
          <w:tcPr>
            <w:tcW w:w="737" w:type="dxa"/>
            <w:tcBorders>
              <w:tl2br w:val="nil"/>
              <w:tr2bl w:val="nil"/>
            </w:tcBorders>
            <w:vAlign w:val="center"/>
          </w:tcPr>
          <w:p>
            <w:pPr>
              <w:widowControl/>
              <w:spacing w:line="360" w:lineRule="auto"/>
              <w:jc w:val="center"/>
              <w:rPr>
                <w:rFonts w:ascii="宋体" w:hAnsi="宋体" w:cs="宋体"/>
                <w:bCs/>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26" w:type="dxa"/>
            <w:vMerge w:val="restart"/>
            <w:tcBorders>
              <w:tl2br w:val="nil"/>
              <w:tr2bl w:val="nil"/>
            </w:tcBorders>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1</w:t>
            </w:r>
          </w:p>
        </w:tc>
        <w:tc>
          <w:tcPr>
            <w:tcW w:w="1276" w:type="dxa"/>
            <w:vMerge w:val="restart"/>
            <w:tcBorders>
              <w:tl2br w:val="nil"/>
              <w:tr2bl w:val="nil"/>
            </w:tcBorders>
            <w:vAlign w:val="center"/>
          </w:tcPr>
          <w:p>
            <w:pPr>
              <w:widowControl/>
              <w:jc w:val="center"/>
              <w:rPr>
                <w:rFonts w:ascii="宋体" w:hAnsi="宋体" w:cs="宋体"/>
                <w:color w:val="000000" w:themeColor="text1"/>
                <w:kern w:val="0"/>
                <w:sz w:val="24"/>
                <w:szCs w:val="24"/>
                <w:lang w:bidi="ar"/>
              </w:rPr>
            </w:pPr>
            <w:r>
              <w:rPr>
                <w:rFonts w:ascii="宋体" w:hAnsi="宋体" w:cs="宋体"/>
                <w:color w:val="000000" w:themeColor="text1"/>
                <w:kern w:val="0"/>
                <w:sz w:val="24"/>
                <w:szCs w:val="24"/>
                <w:lang w:bidi="ar"/>
              </w:rPr>
              <w:t>档案整理人员</w:t>
            </w:r>
          </w:p>
        </w:tc>
        <w:tc>
          <w:tcPr>
            <w:tcW w:w="7086" w:type="dxa"/>
            <w:tcBorders>
              <w:tl2br w:val="nil"/>
              <w:tr2bl w:val="nil"/>
            </w:tcBorders>
            <w:vAlign w:val="center"/>
          </w:tcPr>
          <w:p>
            <w:pPr>
              <w:widowControl/>
              <w:spacing w:line="276" w:lineRule="auto"/>
              <w:rPr>
                <w:rFonts w:ascii="宋体" w:hAnsi="宋体" w:cs="宋体"/>
                <w:color w:val="000000" w:themeColor="text1"/>
                <w:kern w:val="0"/>
                <w:sz w:val="24"/>
                <w:szCs w:val="24"/>
                <w:lang w:bidi="ar"/>
              </w:rPr>
            </w:pPr>
            <w:r>
              <w:rPr>
                <w:rFonts w:ascii="宋体" w:hAnsi="宋体" w:cs="宋体"/>
                <w:color w:val="000000" w:themeColor="text1"/>
                <w:kern w:val="0"/>
                <w:sz w:val="24"/>
                <w:szCs w:val="24"/>
                <w:lang w:bidi="ar"/>
              </w:rPr>
              <w:t>供应商拟派的项目负责人具有地级市及以上档案局颁发的档案专业人员上岗证或</w:t>
            </w:r>
            <w:r>
              <w:rPr>
                <w:rFonts w:hint="eastAsia" w:ascii="宋体" w:hAnsi="宋体" w:cs="宋体"/>
                <w:color w:val="000000" w:themeColor="text1"/>
                <w:kern w:val="0"/>
                <w:sz w:val="24"/>
                <w:szCs w:val="24"/>
                <w:lang w:bidi="ar"/>
              </w:rPr>
              <w:t>江苏省档案人员远程教育上岗培训合格证书</w:t>
            </w:r>
            <w:r>
              <w:rPr>
                <w:rFonts w:ascii="宋体" w:hAnsi="宋体" w:cs="宋体"/>
                <w:color w:val="000000" w:themeColor="text1"/>
                <w:kern w:val="0"/>
                <w:sz w:val="24"/>
                <w:szCs w:val="24"/>
                <w:lang w:bidi="ar"/>
              </w:rPr>
              <w:t>的</w:t>
            </w:r>
            <w:r>
              <w:rPr>
                <w:rFonts w:hint="eastAsia" w:ascii="宋体" w:hAnsi="宋体" w:cs="宋体"/>
                <w:color w:val="000000" w:themeColor="text1"/>
                <w:kern w:val="0"/>
                <w:sz w:val="24"/>
                <w:szCs w:val="24"/>
                <w:lang w:bidi="ar"/>
              </w:rPr>
              <w:t>，</w:t>
            </w:r>
            <w:r>
              <w:rPr>
                <w:rFonts w:ascii="宋体" w:hAnsi="宋体" w:cs="宋体"/>
                <w:color w:val="000000" w:themeColor="text1"/>
                <w:kern w:val="0"/>
                <w:sz w:val="24"/>
                <w:szCs w:val="24"/>
                <w:lang w:bidi="ar"/>
              </w:rPr>
              <w:t>得</w:t>
            </w:r>
            <w:r>
              <w:rPr>
                <w:rFonts w:hint="eastAsia" w:ascii="宋体" w:hAnsi="宋体" w:cs="宋体"/>
                <w:color w:val="000000" w:themeColor="text1"/>
                <w:kern w:val="0"/>
                <w:sz w:val="24"/>
                <w:szCs w:val="24"/>
                <w:lang w:bidi="ar"/>
              </w:rPr>
              <w:t>4分。</w:t>
            </w:r>
          </w:p>
          <w:p>
            <w:pPr>
              <w:pStyle w:val="2"/>
              <w:widowControl/>
              <w:spacing w:line="276" w:lineRule="auto"/>
              <w:ind w:firstLine="0" w:firstLineChars="0"/>
              <w:rPr>
                <w:rFonts w:ascii="宋体" w:hAnsi="宋体" w:cs="宋体"/>
                <w:color w:val="000000" w:themeColor="text1"/>
                <w:kern w:val="0"/>
                <w:sz w:val="24"/>
                <w:szCs w:val="24"/>
                <w:lang w:bidi="ar"/>
              </w:rPr>
            </w:pPr>
            <w:r>
              <w:rPr>
                <w:rFonts w:hint="eastAsia" w:ascii="宋体" w:hAnsi="宋体" w:cs="宋体"/>
                <w:color w:val="000000" w:themeColor="text1"/>
                <w:kern w:val="0"/>
                <w:sz w:val="24"/>
                <w:szCs w:val="24"/>
                <w:lang w:bidi="ar"/>
              </w:rPr>
              <w:t>须同时提供①证书原件的复印件或扫描打印件；②供应商与其双方签订的有效劳动合同书复印件或扫描打印件；③社保机构出具并盖章的供应商为其连续交纳的近6个月（至少缴纳至2022年</w:t>
            </w:r>
            <w:r>
              <w:rPr>
                <w:rFonts w:hint="eastAsia" w:ascii="宋体" w:hAnsi="宋体" w:cs="宋体"/>
                <w:color w:val="000000" w:themeColor="text1"/>
                <w:kern w:val="0"/>
                <w:sz w:val="24"/>
                <w:szCs w:val="24"/>
                <w:lang w:val="en-US" w:eastAsia="zh-CN" w:bidi="ar"/>
              </w:rPr>
              <w:t>2</w:t>
            </w:r>
            <w:r>
              <w:rPr>
                <w:rFonts w:hint="eastAsia" w:ascii="宋体" w:hAnsi="宋体" w:cs="宋体"/>
                <w:color w:val="000000" w:themeColor="text1"/>
                <w:kern w:val="0"/>
                <w:sz w:val="24"/>
                <w:szCs w:val="24"/>
                <w:lang w:bidi="ar"/>
              </w:rPr>
              <w:t>月）的养老保险缴费清单（可提供官网打印的具有二维码或验证码的缴费清单）。</w:t>
            </w:r>
          </w:p>
        </w:tc>
        <w:tc>
          <w:tcPr>
            <w:tcW w:w="737" w:type="dxa"/>
            <w:tcBorders>
              <w:tl2br w:val="nil"/>
              <w:tr2bl w:val="nil"/>
            </w:tcBorders>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26" w:type="dxa"/>
            <w:vMerge w:val="continue"/>
            <w:tcBorders>
              <w:tl2br w:val="nil"/>
              <w:tr2bl w:val="nil"/>
            </w:tcBorders>
            <w:vAlign w:val="center"/>
          </w:tcPr>
          <w:p>
            <w:pPr>
              <w:autoSpaceDE w:val="0"/>
              <w:autoSpaceDN w:val="0"/>
              <w:adjustRightInd w:val="0"/>
              <w:spacing w:line="360" w:lineRule="auto"/>
              <w:jc w:val="center"/>
              <w:rPr>
                <w:rFonts w:ascii="宋体" w:hAnsi="宋体" w:cs="宋体"/>
                <w:color w:val="000000"/>
                <w:sz w:val="24"/>
                <w:lang w:val="zh-CN"/>
              </w:rPr>
            </w:pPr>
          </w:p>
        </w:tc>
        <w:tc>
          <w:tcPr>
            <w:tcW w:w="1276" w:type="dxa"/>
            <w:vMerge w:val="continue"/>
            <w:tcBorders>
              <w:tl2br w:val="nil"/>
              <w:tr2bl w:val="nil"/>
            </w:tcBorders>
            <w:vAlign w:val="center"/>
          </w:tcPr>
          <w:p>
            <w:pPr>
              <w:widowControl/>
              <w:jc w:val="center"/>
              <w:rPr>
                <w:rFonts w:ascii="宋体" w:hAnsi="宋体" w:cs="宋体"/>
                <w:color w:val="000000" w:themeColor="text1"/>
                <w:kern w:val="0"/>
                <w:sz w:val="24"/>
                <w:szCs w:val="24"/>
                <w:lang w:bidi="ar"/>
              </w:rPr>
            </w:pPr>
          </w:p>
        </w:tc>
        <w:tc>
          <w:tcPr>
            <w:tcW w:w="7086" w:type="dxa"/>
            <w:tcBorders>
              <w:tl2br w:val="nil"/>
              <w:tr2bl w:val="nil"/>
            </w:tcBorders>
            <w:vAlign w:val="center"/>
          </w:tcPr>
          <w:p>
            <w:pPr>
              <w:widowControl/>
              <w:spacing w:line="276" w:lineRule="auto"/>
              <w:rPr>
                <w:rFonts w:ascii="宋体" w:hAnsi="宋体" w:cs="宋体"/>
                <w:color w:val="000000" w:themeColor="text1"/>
                <w:kern w:val="0"/>
                <w:sz w:val="24"/>
                <w:szCs w:val="24"/>
                <w:lang w:bidi="ar"/>
              </w:rPr>
            </w:pPr>
            <w:r>
              <w:rPr>
                <w:rFonts w:ascii="宋体" w:hAnsi="宋体" w:cs="宋体"/>
                <w:color w:val="000000" w:themeColor="text1"/>
                <w:kern w:val="0"/>
                <w:sz w:val="24"/>
                <w:szCs w:val="24"/>
                <w:lang w:bidi="ar"/>
              </w:rPr>
              <w:t>供应商拟组建的档案整理小组成员</w:t>
            </w:r>
            <w:r>
              <w:rPr>
                <w:rFonts w:hint="eastAsia" w:ascii="宋体" w:hAnsi="宋体" w:cs="宋体"/>
                <w:color w:val="000000" w:themeColor="text1"/>
                <w:kern w:val="0"/>
                <w:sz w:val="24"/>
                <w:szCs w:val="24"/>
                <w:lang w:bidi="ar"/>
              </w:rPr>
              <w:t>（项目负责人除外）</w:t>
            </w:r>
            <w:r>
              <w:rPr>
                <w:rFonts w:ascii="宋体" w:hAnsi="宋体" w:cs="宋体"/>
                <w:color w:val="000000" w:themeColor="text1"/>
                <w:kern w:val="0"/>
                <w:sz w:val="24"/>
                <w:szCs w:val="24"/>
                <w:lang w:bidi="ar"/>
              </w:rPr>
              <w:t>中</w:t>
            </w:r>
            <w:r>
              <w:rPr>
                <w:rFonts w:hint="eastAsia" w:ascii="宋体" w:hAnsi="宋体" w:cs="宋体"/>
                <w:color w:val="000000" w:themeColor="text1"/>
                <w:kern w:val="0"/>
                <w:sz w:val="24"/>
                <w:szCs w:val="24"/>
                <w:lang w:bidi="ar"/>
              </w:rPr>
              <w:t>，具有</w:t>
            </w:r>
            <w:r>
              <w:rPr>
                <w:rFonts w:ascii="宋体" w:hAnsi="宋体" w:cs="宋体"/>
                <w:color w:val="000000" w:themeColor="text1"/>
                <w:kern w:val="0"/>
                <w:sz w:val="24"/>
                <w:szCs w:val="24"/>
                <w:lang w:bidi="ar"/>
              </w:rPr>
              <w:t>地级市及以上档案局颁发的档案专业人员上岗证</w:t>
            </w:r>
            <w:r>
              <w:rPr>
                <w:rFonts w:hint="eastAsia" w:ascii="宋体" w:hAnsi="宋体" w:cs="宋体"/>
                <w:color w:val="000000" w:themeColor="text1"/>
                <w:kern w:val="0"/>
                <w:sz w:val="24"/>
                <w:szCs w:val="24"/>
                <w:lang w:bidi="ar"/>
              </w:rPr>
              <w:t>或江苏省档案人员远程教育上岗培训合格证书的，每有1人得2分，最多得12分。</w:t>
            </w:r>
          </w:p>
          <w:p>
            <w:pPr>
              <w:pStyle w:val="2"/>
              <w:widowControl/>
              <w:spacing w:line="276" w:lineRule="auto"/>
              <w:ind w:firstLine="0" w:firstLineChars="0"/>
              <w:rPr>
                <w:rFonts w:ascii="宋体" w:hAnsi="宋体" w:cs="宋体"/>
                <w:color w:val="000000" w:themeColor="text1"/>
                <w:kern w:val="0"/>
                <w:sz w:val="24"/>
                <w:szCs w:val="24"/>
                <w:lang w:bidi="ar"/>
              </w:rPr>
            </w:pPr>
            <w:r>
              <w:rPr>
                <w:rFonts w:hint="eastAsia" w:ascii="宋体" w:hAnsi="宋体" w:cs="宋体"/>
                <w:color w:val="000000" w:themeColor="text1"/>
                <w:kern w:val="0"/>
                <w:sz w:val="24"/>
                <w:szCs w:val="24"/>
                <w:lang w:bidi="ar"/>
              </w:rPr>
              <w:t>须同时提供①证书原件的复印件或扫描打印件；②供应商与其双方签订的有效劳动合同书复印件或扫描打印件。</w:t>
            </w:r>
          </w:p>
        </w:tc>
        <w:tc>
          <w:tcPr>
            <w:tcW w:w="737" w:type="dxa"/>
            <w:tcBorders>
              <w:tl2br w:val="nil"/>
              <w:tr2bl w:val="nil"/>
            </w:tcBorders>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26" w:type="dxa"/>
            <w:vMerge w:val="restart"/>
            <w:tcBorders>
              <w:tl2br w:val="nil"/>
              <w:tr2bl w:val="nil"/>
            </w:tcBorders>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2</w:t>
            </w:r>
          </w:p>
        </w:tc>
        <w:tc>
          <w:tcPr>
            <w:tcW w:w="1276" w:type="dxa"/>
            <w:vMerge w:val="restart"/>
            <w:tcBorders>
              <w:tl2br w:val="nil"/>
              <w:tr2bl w:val="nil"/>
            </w:tcBorders>
            <w:vAlign w:val="center"/>
          </w:tcPr>
          <w:p>
            <w:pPr>
              <w:widowControl/>
              <w:jc w:val="center"/>
              <w:rPr>
                <w:rFonts w:ascii="宋体" w:hAnsi="宋体" w:cs="宋体"/>
                <w:color w:val="000000" w:themeColor="text1"/>
                <w:kern w:val="0"/>
                <w:sz w:val="24"/>
                <w:szCs w:val="24"/>
                <w:lang w:bidi="ar"/>
              </w:rPr>
            </w:pPr>
            <w:r>
              <w:rPr>
                <w:rFonts w:ascii="宋体" w:hAnsi="宋体" w:cs="宋体"/>
                <w:color w:val="000000" w:themeColor="text1"/>
                <w:kern w:val="0"/>
                <w:sz w:val="24"/>
                <w:szCs w:val="24"/>
                <w:lang w:bidi="ar"/>
              </w:rPr>
              <w:t>档案整理业绩</w:t>
            </w:r>
          </w:p>
        </w:tc>
        <w:tc>
          <w:tcPr>
            <w:tcW w:w="7086" w:type="dxa"/>
            <w:tcBorders>
              <w:tl2br w:val="nil"/>
              <w:tr2bl w:val="nil"/>
            </w:tcBorders>
            <w:vAlign w:val="center"/>
          </w:tcPr>
          <w:p>
            <w:pPr>
              <w:widowControl/>
              <w:spacing w:line="276" w:lineRule="auto"/>
              <w:rPr>
                <w:rFonts w:ascii="宋体" w:hAnsi="宋体" w:cs="宋体"/>
                <w:color w:val="000000" w:themeColor="text1"/>
                <w:kern w:val="0"/>
                <w:sz w:val="24"/>
                <w:szCs w:val="24"/>
                <w:lang w:bidi="ar"/>
              </w:rPr>
            </w:pPr>
            <w:r>
              <w:rPr>
                <w:rFonts w:ascii="宋体" w:hAnsi="宋体" w:cs="宋体"/>
                <w:color w:val="000000" w:themeColor="text1"/>
                <w:kern w:val="0"/>
                <w:sz w:val="24"/>
                <w:szCs w:val="24"/>
                <w:lang w:bidi="ar"/>
              </w:rPr>
              <w:t>供应商自</w:t>
            </w:r>
            <w:r>
              <w:rPr>
                <w:rFonts w:hint="eastAsia" w:ascii="宋体" w:hAnsi="宋体" w:cs="宋体"/>
                <w:color w:val="000000" w:themeColor="text1"/>
                <w:kern w:val="0"/>
                <w:sz w:val="24"/>
                <w:szCs w:val="24"/>
                <w:lang w:bidi="ar"/>
              </w:rPr>
              <w:t>20</w:t>
            </w:r>
            <w:r>
              <w:rPr>
                <w:rFonts w:ascii="宋体" w:hAnsi="宋体" w:cs="宋体"/>
                <w:color w:val="000000" w:themeColor="text1"/>
                <w:kern w:val="0"/>
                <w:sz w:val="24"/>
                <w:szCs w:val="24"/>
                <w:lang w:bidi="ar"/>
              </w:rPr>
              <w:t>20</w:t>
            </w:r>
            <w:r>
              <w:rPr>
                <w:rFonts w:hint="eastAsia" w:ascii="宋体" w:hAnsi="宋体" w:cs="宋体"/>
                <w:color w:val="000000" w:themeColor="text1"/>
                <w:kern w:val="0"/>
                <w:sz w:val="24"/>
                <w:szCs w:val="24"/>
                <w:lang w:bidi="ar"/>
              </w:rPr>
              <w:t>年1月1日（以合同签订时间为准）以来，承接并完成与本次磋商项目类似的档案整理装订服务的，每1个业绩得</w:t>
            </w:r>
            <w:r>
              <w:rPr>
                <w:rFonts w:ascii="宋体" w:hAnsi="宋体" w:cs="宋体"/>
                <w:color w:val="000000" w:themeColor="text1"/>
                <w:kern w:val="0"/>
                <w:sz w:val="24"/>
                <w:szCs w:val="24"/>
                <w:lang w:bidi="ar"/>
              </w:rPr>
              <w:t>5</w:t>
            </w:r>
            <w:r>
              <w:rPr>
                <w:rFonts w:hint="eastAsia" w:ascii="宋体" w:hAnsi="宋体" w:cs="宋体"/>
                <w:color w:val="000000" w:themeColor="text1"/>
                <w:kern w:val="0"/>
                <w:sz w:val="24"/>
                <w:szCs w:val="24"/>
                <w:lang w:bidi="ar"/>
              </w:rPr>
              <w:t>分，最多得3</w:t>
            </w:r>
            <w:r>
              <w:rPr>
                <w:rFonts w:ascii="宋体" w:hAnsi="宋体" w:cs="宋体"/>
                <w:color w:val="000000" w:themeColor="text1"/>
                <w:kern w:val="0"/>
                <w:sz w:val="24"/>
                <w:szCs w:val="24"/>
                <w:lang w:bidi="ar"/>
              </w:rPr>
              <w:t>0</w:t>
            </w:r>
            <w:r>
              <w:rPr>
                <w:rFonts w:hint="eastAsia" w:ascii="宋体" w:hAnsi="宋体" w:cs="宋体"/>
                <w:color w:val="000000" w:themeColor="text1"/>
                <w:kern w:val="0"/>
                <w:sz w:val="24"/>
                <w:szCs w:val="24"/>
                <w:lang w:bidi="ar"/>
              </w:rPr>
              <w:t>分。</w:t>
            </w:r>
          </w:p>
          <w:p>
            <w:pPr>
              <w:widowControl/>
              <w:spacing w:line="276" w:lineRule="auto"/>
              <w:rPr>
                <w:rFonts w:ascii="宋体" w:hAnsi="宋体" w:cs="宋体"/>
                <w:color w:val="000000" w:themeColor="text1"/>
                <w:kern w:val="0"/>
                <w:sz w:val="24"/>
                <w:szCs w:val="24"/>
                <w:lang w:bidi="ar"/>
              </w:rPr>
            </w:pPr>
            <w:r>
              <w:rPr>
                <w:rFonts w:hint="eastAsia" w:ascii="宋体" w:hAnsi="宋体" w:cs="宋体"/>
                <w:color w:val="000000" w:themeColor="text1"/>
                <w:kern w:val="0"/>
                <w:sz w:val="24"/>
                <w:szCs w:val="24"/>
                <w:lang w:val="en-US" w:eastAsia="zh-CN" w:bidi="ar"/>
              </w:rPr>
              <w:t>每个业绩</w:t>
            </w:r>
            <w:r>
              <w:rPr>
                <w:rFonts w:hint="eastAsia" w:ascii="宋体" w:hAnsi="宋体" w:cs="宋体"/>
                <w:color w:val="000000" w:themeColor="text1"/>
                <w:kern w:val="0"/>
                <w:sz w:val="24"/>
                <w:szCs w:val="24"/>
                <w:lang w:bidi="ar"/>
              </w:rPr>
              <w:t>须同时提供①服务合同的复印件或扫描</w:t>
            </w:r>
            <w:bookmarkStart w:id="74" w:name="_GoBack"/>
            <w:bookmarkEnd w:id="74"/>
            <w:r>
              <w:rPr>
                <w:rFonts w:hint="eastAsia" w:ascii="宋体" w:hAnsi="宋体" w:cs="宋体"/>
                <w:color w:val="000000" w:themeColor="text1"/>
                <w:kern w:val="0"/>
                <w:sz w:val="24"/>
                <w:szCs w:val="24"/>
                <w:lang w:bidi="ar"/>
              </w:rPr>
              <w:t>打印件；②项目发票（发票至少提供1张，且开具日期须在本项目磋商公告发出日期之前）复印件或扫描打印件；③经采购人盖章验收合格的相关证明文件。</w:t>
            </w:r>
          </w:p>
          <w:p>
            <w:pPr>
              <w:widowControl/>
              <w:spacing w:line="276" w:lineRule="auto"/>
              <w:rPr>
                <w:lang w:val="zh-CN"/>
              </w:rPr>
            </w:pPr>
            <w:r>
              <w:rPr>
                <w:rFonts w:hint="eastAsia" w:ascii="宋体" w:hAnsi="宋体" w:cs="宋体"/>
                <w:color w:val="000000" w:themeColor="text1"/>
                <w:kern w:val="0"/>
                <w:sz w:val="24"/>
                <w:szCs w:val="24"/>
                <w:lang w:bidi="ar"/>
              </w:rPr>
              <w:t>注：若上述材料无法体现评审因素，则须另行提供由委托单位盖章的业绩证明，若业绩证明无法充分体现评审要素，评标委员会可以不予认可。</w:t>
            </w:r>
          </w:p>
        </w:tc>
        <w:tc>
          <w:tcPr>
            <w:tcW w:w="737" w:type="dxa"/>
            <w:tcBorders>
              <w:tl2br w:val="nil"/>
              <w:tr2bl w:val="nil"/>
            </w:tcBorders>
            <w:vAlign w:val="center"/>
          </w:tcPr>
          <w:p>
            <w:pPr>
              <w:autoSpaceDE w:val="0"/>
              <w:autoSpaceDN w:val="0"/>
              <w:adjustRightInd w:val="0"/>
              <w:spacing w:line="360" w:lineRule="auto"/>
              <w:jc w:val="center"/>
              <w:rPr>
                <w:rFonts w:ascii="宋体" w:hAnsi="宋体" w:cs="宋体"/>
                <w:sz w:val="24"/>
                <w:lang w:val="zh-CN"/>
              </w:rPr>
            </w:pPr>
            <w:r>
              <w:rPr>
                <w:rFonts w:ascii="宋体" w:hAnsi="宋体" w:cs="宋体"/>
                <w:sz w:val="24"/>
                <w:lang w:val="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26" w:type="dxa"/>
            <w:vMerge w:val="continue"/>
            <w:tcBorders>
              <w:tl2br w:val="nil"/>
              <w:tr2bl w:val="nil"/>
            </w:tcBorders>
            <w:vAlign w:val="center"/>
          </w:tcPr>
          <w:p>
            <w:pPr>
              <w:autoSpaceDE w:val="0"/>
              <w:autoSpaceDN w:val="0"/>
              <w:adjustRightInd w:val="0"/>
              <w:spacing w:line="360" w:lineRule="auto"/>
              <w:jc w:val="center"/>
              <w:rPr>
                <w:rFonts w:ascii="宋体" w:hAnsi="宋体" w:cs="宋体"/>
                <w:color w:val="000000"/>
                <w:sz w:val="24"/>
                <w:lang w:val="zh-CN"/>
              </w:rPr>
            </w:pPr>
          </w:p>
        </w:tc>
        <w:tc>
          <w:tcPr>
            <w:tcW w:w="1276" w:type="dxa"/>
            <w:vMerge w:val="continue"/>
            <w:tcBorders>
              <w:tl2br w:val="nil"/>
              <w:tr2bl w:val="nil"/>
            </w:tcBorders>
            <w:vAlign w:val="center"/>
          </w:tcPr>
          <w:p>
            <w:pPr>
              <w:autoSpaceDE w:val="0"/>
              <w:autoSpaceDN w:val="0"/>
              <w:adjustRightInd w:val="0"/>
              <w:spacing w:line="360" w:lineRule="auto"/>
              <w:jc w:val="center"/>
              <w:rPr>
                <w:rFonts w:ascii="宋体" w:hAnsi="宋体" w:cs="宋体"/>
                <w:color w:val="000000"/>
                <w:sz w:val="24"/>
                <w:lang w:val="zh-CN"/>
              </w:rPr>
            </w:pPr>
          </w:p>
        </w:tc>
        <w:tc>
          <w:tcPr>
            <w:tcW w:w="7086" w:type="dxa"/>
            <w:tcBorders>
              <w:tl2br w:val="nil"/>
              <w:tr2bl w:val="nil"/>
            </w:tcBorders>
            <w:vAlign w:val="center"/>
          </w:tcPr>
          <w:p>
            <w:pPr>
              <w:widowControl/>
              <w:spacing w:line="276" w:lineRule="auto"/>
              <w:rPr>
                <w:rFonts w:ascii="宋体" w:hAnsi="宋体" w:cs="宋体"/>
                <w:color w:val="000000" w:themeColor="text1"/>
                <w:kern w:val="0"/>
                <w:sz w:val="24"/>
                <w:szCs w:val="24"/>
                <w:lang w:bidi="ar"/>
              </w:rPr>
            </w:pPr>
            <w:r>
              <w:rPr>
                <w:rFonts w:ascii="宋体" w:hAnsi="宋体" w:cs="宋体"/>
                <w:color w:val="000000" w:themeColor="text1"/>
                <w:kern w:val="0"/>
                <w:sz w:val="24"/>
                <w:szCs w:val="24"/>
                <w:lang w:bidi="ar"/>
              </w:rPr>
              <w:t>供应商自</w:t>
            </w:r>
            <w:r>
              <w:rPr>
                <w:rFonts w:hint="eastAsia" w:ascii="宋体" w:hAnsi="宋体" w:cs="宋体"/>
                <w:color w:val="000000" w:themeColor="text1"/>
                <w:kern w:val="0"/>
                <w:sz w:val="24"/>
                <w:szCs w:val="24"/>
                <w:lang w:bidi="ar"/>
              </w:rPr>
              <w:t>20</w:t>
            </w:r>
            <w:r>
              <w:rPr>
                <w:rFonts w:ascii="宋体" w:hAnsi="宋体" w:cs="宋体"/>
                <w:color w:val="000000" w:themeColor="text1"/>
                <w:kern w:val="0"/>
                <w:sz w:val="24"/>
                <w:szCs w:val="24"/>
                <w:lang w:bidi="ar"/>
              </w:rPr>
              <w:t>20</w:t>
            </w:r>
            <w:r>
              <w:rPr>
                <w:rFonts w:hint="eastAsia" w:ascii="宋体" w:hAnsi="宋体" w:cs="宋体"/>
                <w:color w:val="000000" w:themeColor="text1"/>
                <w:kern w:val="0"/>
                <w:sz w:val="24"/>
                <w:szCs w:val="24"/>
                <w:lang w:bidi="ar"/>
              </w:rPr>
              <w:t>年1月1日（以合同签订时间为准）以来，承接并完成进馆档案整理装订服务的，每1个业绩得3分，最多得</w:t>
            </w:r>
            <w:r>
              <w:rPr>
                <w:rFonts w:ascii="宋体" w:hAnsi="宋体" w:cs="宋体"/>
                <w:color w:val="000000" w:themeColor="text1"/>
                <w:kern w:val="0"/>
                <w:sz w:val="24"/>
                <w:szCs w:val="24"/>
                <w:lang w:bidi="ar"/>
              </w:rPr>
              <w:t>6</w:t>
            </w:r>
            <w:r>
              <w:rPr>
                <w:rFonts w:hint="eastAsia" w:ascii="宋体" w:hAnsi="宋体" w:cs="宋体"/>
                <w:color w:val="000000" w:themeColor="text1"/>
                <w:kern w:val="0"/>
                <w:sz w:val="24"/>
                <w:szCs w:val="24"/>
                <w:lang w:bidi="ar"/>
              </w:rPr>
              <w:t>分。</w:t>
            </w:r>
          </w:p>
          <w:p>
            <w:pPr>
              <w:widowControl/>
              <w:spacing w:line="276" w:lineRule="auto"/>
              <w:rPr>
                <w:rFonts w:ascii="宋体" w:hAnsi="宋体" w:cs="宋体"/>
                <w:color w:val="000000" w:themeColor="text1"/>
                <w:kern w:val="0"/>
                <w:sz w:val="24"/>
                <w:szCs w:val="24"/>
                <w:lang w:bidi="ar"/>
              </w:rPr>
            </w:pPr>
            <w:r>
              <w:rPr>
                <w:rFonts w:hint="eastAsia" w:ascii="宋体" w:hAnsi="宋体" w:cs="宋体"/>
                <w:color w:val="000000" w:themeColor="text1"/>
                <w:kern w:val="0"/>
                <w:sz w:val="24"/>
                <w:szCs w:val="24"/>
                <w:lang w:bidi="ar"/>
              </w:rPr>
              <w:t>须同时提供①服务合同的复印件或扫描打印件；②项目发票（发票至少提供1张，且开具日期须在本项目磋商公告发出日期之前）复印件或扫描打印件；③档案馆接收档案的相关证明文件（须与合同项目符合）的复印件或扫描打印件。</w:t>
            </w:r>
          </w:p>
          <w:p>
            <w:pPr>
              <w:pStyle w:val="2"/>
              <w:widowControl/>
              <w:spacing w:line="276" w:lineRule="auto"/>
              <w:ind w:firstLine="0" w:firstLineChars="0"/>
              <w:rPr>
                <w:rFonts w:ascii="宋体" w:hAnsi="宋体" w:cs="宋体"/>
                <w:b/>
                <w:color w:val="000000" w:themeColor="text1"/>
                <w:kern w:val="0"/>
                <w:sz w:val="24"/>
                <w:szCs w:val="24"/>
                <w:lang w:bidi="ar"/>
              </w:rPr>
            </w:pPr>
            <w:r>
              <w:rPr>
                <w:rFonts w:hint="eastAsia" w:ascii="宋体" w:hAnsi="宋体" w:cs="宋体"/>
                <w:color w:val="000000" w:themeColor="text1"/>
                <w:kern w:val="0"/>
                <w:sz w:val="24"/>
                <w:szCs w:val="24"/>
                <w:lang w:bidi="ar"/>
              </w:rPr>
              <w:t>注：若上述材料无法体现评审因素，则须另行提供由委托单位盖章的业绩证明，若业绩证明无法充分体现评审要素，评标委员会可以不予认可。</w:t>
            </w:r>
          </w:p>
        </w:tc>
        <w:tc>
          <w:tcPr>
            <w:tcW w:w="737" w:type="dxa"/>
            <w:tcBorders>
              <w:tl2br w:val="nil"/>
              <w:tr2bl w:val="nil"/>
            </w:tcBorders>
            <w:vAlign w:val="center"/>
          </w:tcPr>
          <w:p>
            <w:pPr>
              <w:autoSpaceDE w:val="0"/>
              <w:autoSpaceDN w:val="0"/>
              <w:adjustRightInd w:val="0"/>
              <w:spacing w:line="360" w:lineRule="auto"/>
              <w:jc w:val="center"/>
              <w:rPr>
                <w:rFonts w:ascii="宋体" w:hAnsi="宋体" w:cs="宋体"/>
                <w:sz w:val="24"/>
                <w:lang w:val="zh-CN"/>
              </w:rPr>
            </w:pPr>
            <w:r>
              <w:rPr>
                <w:rFonts w:ascii="宋体" w:hAnsi="宋体" w:cs="宋体"/>
                <w:sz w:val="24"/>
                <w:lang w:val="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26" w:type="dxa"/>
            <w:vMerge w:val="continue"/>
            <w:tcBorders>
              <w:tl2br w:val="nil"/>
              <w:tr2bl w:val="nil"/>
            </w:tcBorders>
            <w:vAlign w:val="center"/>
          </w:tcPr>
          <w:p>
            <w:pPr>
              <w:autoSpaceDE w:val="0"/>
              <w:autoSpaceDN w:val="0"/>
              <w:adjustRightInd w:val="0"/>
              <w:spacing w:line="360" w:lineRule="auto"/>
              <w:jc w:val="center"/>
              <w:rPr>
                <w:rFonts w:ascii="宋体" w:hAnsi="宋体" w:cs="宋体"/>
                <w:color w:val="000000"/>
                <w:sz w:val="24"/>
                <w:lang w:val="zh-CN"/>
              </w:rPr>
            </w:pPr>
          </w:p>
        </w:tc>
        <w:tc>
          <w:tcPr>
            <w:tcW w:w="1276" w:type="dxa"/>
            <w:vMerge w:val="continue"/>
            <w:tcBorders>
              <w:tl2br w:val="nil"/>
              <w:tr2bl w:val="nil"/>
            </w:tcBorders>
            <w:vAlign w:val="center"/>
          </w:tcPr>
          <w:p>
            <w:pPr>
              <w:autoSpaceDE w:val="0"/>
              <w:autoSpaceDN w:val="0"/>
              <w:adjustRightInd w:val="0"/>
              <w:spacing w:line="360" w:lineRule="auto"/>
              <w:jc w:val="center"/>
              <w:rPr>
                <w:rFonts w:ascii="宋体" w:hAnsi="宋体" w:cs="宋体"/>
                <w:color w:val="000000"/>
                <w:sz w:val="24"/>
                <w:lang w:val="zh-CN"/>
              </w:rPr>
            </w:pPr>
          </w:p>
        </w:tc>
        <w:tc>
          <w:tcPr>
            <w:tcW w:w="7086" w:type="dxa"/>
            <w:tcBorders>
              <w:tl2br w:val="nil"/>
              <w:tr2bl w:val="nil"/>
            </w:tcBorders>
            <w:vAlign w:val="center"/>
          </w:tcPr>
          <w:p>
            <w:pPr>
              <w:pStyle w:val="2"/>
              <w:widowControl/>
              <w:spacing w:line="276" w:lineRule="auto"/>
              <w:ind w:firstLine="0" w:firstLineChars="0"/>
              <w:rPr>
                <w:rFonts w:hint="eastAsia" w:ascii="宋体" w:hAnsi="宋体" w:cs="宋体"/>
                <w:color w:val="000000" w:themeColor="text1"/>
                <w:kern w:val="0"/>
                <w:sz w:val="24"/>
                <w:szCs w:val="24"/>
                <w:lang w:bidi="ar"/>
              </w:rPr>
            </w:pPr>
            <w:r>
              <w:rPr>
                <w:rFonts w:hint="eastAsia" w:ascii="宋体" w:hAnsi="宋体" w:cs="宋体"/>
                <w:b/>
                <w:color w:val="000000" w:themeColor="text1"/>
                <w:kern w:val="0"/>
                <w:sz w:val="24"/>
                <w:szCs w:val="24"/>
                <w:lang w:bidi="ar"/>
              </w:rPr>
              <w:t>“</w:t>
            </w:r>
            <w:r>
              <w:rPr>
                <w:rFonts w:ascii="宋体" w:hAnsi="宋体" w:cs="宋体"/>
                <w:b/>
                <w:color w:val="000000" w:themeColor="text1"/>
                <w:kern w:val="0"/>
                <w:sz w:val="24"/>
                <w:szCs w:val="24"/>
                <w:lang w:bidi="ar"/>
              </w:rPr>
              <w:t>档案整理业绩</w:t>
            </w:r>
            <w:r>
              <w:rPr>
                <w:rFonts w:hint="eastAsia" w:ascii="宋体" w:hAnsi="宋体" w:cs="宋体"/>
                <w:b/>
                <w:color w:val="000000" w:themeColor="text1"/>
                <w:kern w:val="0"/>
                <w:sz w:val="24"/>
                <w:szCs w:val="24"/>
                <w:lang w:bidi="ar"/>
              </w:rPr>
              <w:t>”</w:t>
            </w:r>
            <w:r>
              <w:rPr>
                <w:rFonts w:ascii="宋体" w:hAnsi="宋体" w:cs="宋体"/>
                <w:b/>
                <w:color w:val="000000" w:themeColor="text1"/>
                <w:kern w:val="0"/>
                <w:sz w:val="24"/>
                <w:szCs w:val="24"/>
                <w:lang w:bidi="ar"/>
              </w:rPr>
              <w:t>中同一业绩不重复得分</w:t>
            </w:r>
            <w:r>
              <w:rPr>
                <w:rFonts w:hint="eastAsia" w:ascii="宋体" w:hAnsi="宋体" w:cs="宋体"/>
                <w:b/>
                <w:color w:val="000000" w:themeColor="text1"/>
                <w:kern w:val="0"/>
                <w:sz w:val="24"/>
                <w:szCs w:val="24"/>
                <w:lang w:bidi="ar"/>
              </w:rPr>
              <w:t>，</w:t>
            </w:r>
            <w:r>
              <w:rPr>
                <w:rFonts w:ascii="宋体" w:hAnsi="宋体" w:cs="宋体"/>
                <w:b/>
                <w:color w:val="000000" w:themeColor="text1"/>
                <w:kern w:val="0"/>
                <w:sz w:val="24"/>
                <w:szCs w:val="24"/>
                <w:lang w:bidi="ar"/>
              </w:rPr>
              <w:t>按得分高的计取一次</w:t>
            </w:r>
            <w:r>
              <w:rPr>
                <w:rFonts w:hint="eastAsia" w:ascii="宋体" w:hAnsi="宋体" w:cs="宋体"/>
                <w:b/>
                <w:color w:val="000000" w:themeColor="text1"/>
                <w:kern w:val="0"/>
                <w:sz w:val="24"/>
                <w:szCs w:val="24"/>
                <w:lang w:bidi="ar"/>
              </w:rPr>
              <w:t>。</w:t>
            </w:r>
          </w:p>
        </w:tc>
        <w:tc>
          <w:tcPr>
            <w:tcW w:w="737" w:type="dxa"/>
            <w:tcBorders>
              <w:tl2br w:val="nil"/>
              <w:tr2bl w:val="nil"/>
            </w:tcBorders>
            <w:vAlign w:val="center"/>
          </w:tcPr>
          <w:p>
            <w:pPr>
              <w:autoSpaceDE w:val="0"/>
              <w:autoSpaceDN w:val="0"/>
              <w:adjustRightInd w:val="0"/>
              <w:spacing w:line="360" w:lineRule="auto"/>
              <w:jc w:val="center"/>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26" w:type="dxa"/>
            <w:vMerge w:val="restart"/>
            <w:tcBorders>
              <w:tl2br w:val="nil"/>
              <w:tr2bl w:val="nil"/>
            </w:tcBorders>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3</w:t>
            </w:r>
          </w:p>
        </w:tc>
        <w:tc>
          <w:tcPr>
            <w:tcW w:w="1276" w:type="dxa"/>
            <w:vMerge w:val="restart"/>
            <w:tcBorders>
              <w:tl2br w:val="nil"/>
              <w:tr2bl w:val="nil"/>
            </w:tcBorders>
            <w:vAlign w:val="center"/>
          </w:tcPr>
          <w:p>
            <w:pPr>
              <w:widowControl/>
              <w:jc w:val="center"/>
              <w:rPr>
                <w:rFonts w:ascii="宋体" w:hAnsi="宋体" w:cs="宋体"/>
                <w:color w:val="000000"/>
                <w:sz w:val="24"/>
                <w:lang w:val="zh-CN"/>
              </w:rPr>
            </w:pPr>
            <w:r>
              <w:rPr>
                <w:rFonts w:ascii="宋体" w:hAnsi="宋体" w:cs="宋体"/>
                <w:color w:val="000000" w:themeColor="text1"/>
                <w:kern w:val="0"/>
                <w:sz w:val="24"/>
                <w:szCs w:val="24"/>
                <w:lang w:bidi="ar"/>
              </w:rPr>
              <w:t>档案整理方案</w:t>
            </w:r>
          </w:p>
        </w:tc>
        <w:tc>
          <w:tcPr>
            <w:tcW w:w="7086" w:type="dxa"/>
            <w:tcBorders>
              <w:tl2br w:val="nil"/>
              <w:tr2bl w:val="nil"/>
            </w:tcBorders>
            <w:vAlign w:val="center"/>
          </w:tcPr>
          <w:p>
            <w:pPr>
              <w:widowControl/>
              <w:rPr>
                <w:rFonts w:ascii="宋体" w:hAnsi="宋体" w:cs="宋体"/>
                <w:color w:val="000000" w:themeColor="text1"/>
                <w:kern w:val="0"/>
                <w:sz w:val="24"/>
                <w:szCs w:val="24"/>
                <w:lang w:bidi="ar"/>
              </w:rPr>
            </w:pPr>
            <w:r>
              <w:rPr>
                <w:rFonts w:hint="eastAsia" w:ascii="宋体" w:hAnsi="宋体" w:cs="宋体"/>
                <w:color w:val="000000" w:themeColor="text1"/>
                <w:kern w:val="0"/>
                <w:sz w:val="24"/>
                <w:szCs w:val="24"/>
                <w:lang w:bidi="ar"/>
              </w:rPr>
              <w:t>根据供应商提供的</w:t>
            </w:r>
            <w:r>
              <w:rPr>
                <w:rFonts w:ascii="宋体" w:hAnsi="宋体" w:cs="宋体"/>
                <w:color w:val="000000" w:themeColor="text1"/>
                <w:kern w:val="0"/>
                <w:sz w:val="24"/>
                <w:szCs w:val="24"/>
                <w:lang w:bidi="ar"/>
              </w:rPr>
              <w:t>档案整理服务方案</w:t>
            </w:r>
            <w:r>
              <w:rPr>
                <w:rFonts w:hint="eastAsia" w:ascii="宋体" w:hAnsi="宋体" w:cs="宋体"/>
                <w:color w:val="000000" w:themeColor="text1"/>
                <w:kern w:val="0"/>
                <w:sz w:val="24"/>
                <w:szCs w:val="24"/>
                <w:lang w:bidi="ar"/>
              </w:rPr>
              <w:t>，包括</w:t>
            </w:r>
            <w:r>
              <w:rPr>
                <w:rFonts w:ascii="宋体" w:hAnsi="宋体" w:cs="宋体"/>
                <w:color w:val="000000" w:themeColor="text1"/>
                <w:kern w:val="0"/>
                <w:sz w:val="24"/>
                <w:szCs w:val="24"/>
                <w:lang w:bidi="ar"/>
              </w:rPr>
              <w:t>工作流程</w:t>
            </w:r>
            <w:r>
              <w:rPr>
                <w:rFonts w:hint="eastAsia" w:ascii="宋体" w:hAnsi="宋体" w:cs="宋体"/>
                <w:color w:val="000000" w:themeColor="text1"/>
                <w:kern w:val="0"/>
                <w:sz w:val="24"/>
                <w:szCs w:val="24"/>
                <w:lang w:bidi="ar"/>
              </w:rPr>
              <w:t>、</w:t>
            </w:r>
            <w:r>
              <w:rPr>
                <w:rFonts w:ascii="宋体" w:hAnsi="宋体" w:cs="宋体"/>
                <w:color w:val="000000" w:themeColor="text1"/>
                <w:kern w:val="0"/>
                <w:sz w:val="24"/>
                <w:szCs w:val="24"/>
                <w:lang w:bidi="ar"/>
              </w:rPr>
              <w:t>工作制度</w:t>
            </w:r>
            <w:r>
              <w:rPr>
                <w:rFonts w:hint="eastAsia" w:ascii="宋体" w:hAnsi="宋体" w:cs="宋体"/>
                <w:color w:val="000000" w:themeColor="text1"/>
                <w:kern w:val="0"/>
                <w:sz w:val="24"/>
                <w:szCs w:val="24"/>
                <w:lang w:bidi="ar"/>
              </w:rPr>
              <w:t>、</w:t>
            </w:r>
            <w:r>
              <w:rPr>
                <w:rFonts w:ascii="宋体" w:hAnsi="宋体" w:cs="宋体"/>
                <w:color w:val="000000" w:themeColor="text1"/>
                <w:kern w:val="0"/>
                <w:sz w:val="24"/>
                <w:szCs w:val="24"/>
                <w:lang w:bidi="ar"/>
              </w:rPr>
              <w:t>时间安排</w:t>
            </w:r>
            <w:r>
              <w:rPr>
                <w:rFonts w:hint="eastAsia" w:ascii="宋体" w:hAnsi="宋体" w:cs="宋体"/>
                <w:color w:val="000000" w:themeColor="text1"/>
                <w:kern w:val="0"/>
                <w:sz w:val="24"/>
                <w:szCs w:val="24"/>
                <w:lang w:bidi="ar"/>
              </w:rPr>
              <w:t>，</w:t>
            </w:r>
            <w:r>
              <w:rPr>
                <w:rFonts w:ascii="宋体" w:hAnsi="宋体" w:cs="宋体"/>
                <w:color w:val="000000" w:themeColor="text1"/>
                <w:kern w:val="0"/>
                <w:sz w:val="24"/>
                <w:szCs w:val="24"/>
                <w:lang w:bidi="ar"/>
              </w:rPr>
              <w:t>由评委横向比较后打分</w:t>
            </w:r>
            <w:r>
              <w:rPr>
                <w:rFonts w:hint="eastAsia" w:ascii="宋体" w:hAnsi="宋体" w:cs="宋体"/>
                <w:color w:val="000000" w:themeColor="text1"/>
                <w:kern w:val="0"/>
                <w:sz w:val="24"/>
                <w:szCs w:val="24"/>
                <w:lang w:bidi="ar"/>
              </w:rPr>
              <w:t>，</w:t>
            </w:r>
            <w:r>
              <w:rPr>
                <w:rFonts w:ascii="宋体" w:hAnsi="宋体" w:cs="宋体"/>
                <w:color w:val="000000" w:themeColor="text1"/>
                <w:kern w:val="0"/>
                <w:sz w:val="24"/>
                <w:szCs w:val="24"/>
                <w:lang w:bidi="ar"/>
              </w:rPr>
              <w:t>优秀的得</w:t>
            </w:r>
            <w:r>
              <w:rPr>
                <w:rFonts w:hint="eastAsia" w:ascii="宋体" w:hAnsi="宋体" w:cs="宋体"/>
                <w:color w:val="000000" w:themeColor="text1"/>
                <w:kern w:val="0"/>
                <w:sz w:val="24"/>
                <w:szCs w:val="24"/>
                <w:lang w:bidi="ar"/>
              </w:rPr>
              <w:t>9-13分，良好得5-8分，一般得1-4分，没有不得分。</w:t>
            </w:r>
          </w:p>
        </w:tc>
        <w:tc>
          <w:tcPr>
            <w:tcW w:w="737" w:type="dxa"/>
            <w:tcBorders>
              <w:tl2br w:val="nil"/>
              <w:tr2bl w:val="nil"/>
            </w:tcBorders>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26" w:type="dxa"/>
            <w:vMerge w:val="continue"/>
            <w:tcBorders>
              <w:tl2br w:val="nil"/>
              <w:tr2bl w:val="nil"/>
            </w:tcBorders>
            <w:vAlign w:val="center"/>
          </w:tcPr>
          <w:p>
            <w:pPr>
              <w:autoSpaceDE w:val="0"/>
              <w:autoSpaceDN w:val="0"/>
              <w:adjustRightInd w:val="0"/>
              <w:spacing w:line="360" w:lineRule="auto"/>
              <w:jc w:val="center"/>
              <w:rPr>
                <w:rFonts w:ascii="宋体" w:hAnsi="宋体" w:cs="宋体"/>
                <w:color w:val="000000"/>
                <w:sz w:val="24"/>
                <w:lang w:val="zh-CN"/>
              </w:rPr>
            </w:pPr>
          </w:p>
        </w:tc>
        <w:tc>
          <w:tcPr>
            <w:tcW w:w="1276" w:type="dxa"/>
            <w:vMerge w:val="continue"/>
            <w:tcBorders>
              <w:tl2br w:val="nil"/>
              <w:tr2bl w:val="nil"/>
            </w:tcBorders>
            <w:vAlign w:val="center"/>
          </w:tcPr>
          <w:p>
            <w:pPr>
              <w:autoSpaceDE w:val="0"/>
              <w:autoSpaceDN w:val="0"/>
              <w:adjustRightInd w:val="0"/>
              <w:spacing w:line="360" w:lineRule="auto"/>
              <w:jc w:val="center"/>
              <w:rPr>
                <w:rFonts w:ascii="宋体" w:hAnsi="宋体" w:cs="宋体"/>
                <w:color w:val="000000"/>
                <w:sz w:val="24"/>
                <w:lang w:val="zh-CN"/>
              </w:rPr>
            </w:pPr>
          </w:p>
        </w:tc>
        <w:tc>
          <w:tcPr>
            <w:tcW w:w="7086" w:type="dxa"/>
            <w:tcBorders>
              <w:tl2br w:val="nil"/>
              <w:tr2bl w:val="nil"/>
            </w:tcBorders>
            <w:vAlign w:val="center"/>
          </w:tcPr>
          <w:p>
            <w:pPr>
              <w:widowControl/>
              <w:rPr>
                <w:rFonts w:ascii="宋体" w:hAnsi="宋体" w:cs="宋体"/>
                <w:color w:val="000000" w:themeColor="text1"/>
                <w:kern w:val="0"/>
                <w:sz w:val="24"/>
                <w:szCs w:val="24"/>
                <w:lang w:bidi="ar"/>
              </w:rPr>
            </w:pPr>
            <w:r>
              <w:rPr>
                <w:rFonts w:hint="eastAsia" w:ascii="宋体" w:hAnsi="宋体" w:cs="宋体"/>
                <w:color w:val="000000" w:themeColor="text1"/>
                <w:kern w:val="0"/>
                <w:sz w:val="24"/>
                <w:szCs w:val="24"/>
                <w:lang w:bidi="ar"/>
              </w:rPr>
              <w:t>根据供应商提供的</w:t>
            </w:r>
            <w:r>
              <w:rPr>
                <w:rFonts w:ascii="宋体" w:hAnsi="宋体" w:cs="宋体"/>
                <w:color w:val="000000" w:themeColor="text1"/>
                <w:kern w:val="0"/>
                <w:sz w:val="24"/>
                <w:szCs w:val="24"/>
                <w:lang w:bidi="ar"/>
              </w:rPr>
              <w:t>项目质量保障方案</w:t>
            </w:r>
            <w:r>
              <w:rPr>
                <w:rFonts w:hint="eastAsia" w:ascii="宋体" w:hAnsi="宋体" w:cs="宋体"/>
                <w:color w:val="000000" w:themeColor="text1"/>
                <w:kern w:val="0"/>
                <w:sz w:val="24"/>
                <w:szCs w:val="24"/>
                <w:lang w:bidi="ar"/>
              </w:rPr>
              <w:t>，</w:t>
            </w:r>
            <w:r>
              <w:rPr>
                <w:rFonts w:ascii="宋体" w:hAnsi="宋体" w:cs="宋体"/>
                <w:color w:val="000000" w:themeColor="text1"/>
                <w:kern w:val="0"/>
                <w:sz w:val="24"/>
                <w:szCs w:val="24"/>
                <w:lang w:bidi="ar"/>
              </w:rPr>
              <w:t>保证措施科学可行</w:t>
            </w:r>
            <w:r>
              <w:rPr>
                <w:rFonts w:hint="eastAsia" w:ascii="宋体" w:hAnsi="宋体" w:cs="宋体"/>
                <w:color w:val="000000" w:themeColor="text1"/>
                <w:kern w:val="0"/>
                <w:sz w:val="24"/>
                <w:szCs w:val="24"/>
                <w:lang w:bidi="ar"/>
              </w:rPr>
              <w:t>，</w:t>
            </w:r>
            <w:r>
              <w:rPr>
                <w:rFonts w:ascii="宋体" w:hAnsi="宋体" w:cs="宋体"/>
                <w:color w:val="000000" w:themeColor="text1"/>
                <w:kern w:val="0"/>
                <w:sz w:val="24"/>
                <w:szCs w:val="24"/>
                <w:lang w:bidi="ar"/>
              </w:rPr>
              <w:t>由评委横向比较</w:t>
            </w:r>
            <w:r>
              <w:rPr>
                <w:rFonts w:hint="eastAsia" w:ascii="宋体" w:hAnsi="宋体" w:cs="宋体"/>
                <w:color w:val="000000" w:themeColor="text1"/>
                <w:kern w:val="0"/>
                <w:sz w:val="24"/>
                <w:szCs w:val="24"/>
                <w:lang w:bidi="ar"/>
              </w:rPr>
              <w:t>，</w:t>
            </w:r>
            <w:r>
              <w:rPr>
                <w:rFonts w:ascii="宋体" w:hAnsi="宋体" w:cs="宋体"/>
                <w:color w:val="000000" w:themeColor="text1"/>
                <w:kern w:val="0"/>
                <w:sz w:val="24"/>
                <w:szCs w:val="24"/>
                <w:lang w:bidi="ar"/>
              </w:rPr>
              <w:t>优秀的得</w:t>
            </w:r>
            <w:r>
              <w:rPr>
                <w:rFonts w:hint="eastAsia" w:ascii="宋体" w:hAnsi="宋体" w:cs="宋体"/>
                <w:color w:val="000000" w:themeColor="text1"/>
                <w:kern w:val="0"/>
                <w:sz w:val="24"/>
                <w:szCs w:val="24"/>
                <w:lang w:bidi="ar"/>
              </w:rPr>
              <w:t>4-5分，良好得3-4分，一般得1-2分，没有不得分。</w:t>
            </w:r>
          </w:p>
        </w:tc>
        <w:tc>
          <w:tcPr>
            <w:tcW w:w="737" w:type="dxa"/>
            <w:tcBorders>
              <w:tl2br w:val="nil"/>
              <w:tr2bl w:val="nil"/>
            </w:tcBorders>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5</w:t>
            </w:r>
          </w:p>
        </w:tc>
      </w:tr>
    </w:tbl>
    <w:p>
      <w:pPr>
        <w:snapToGrid w:val="0"/>
        <w:spacing w:before="120" w:beforeLines="50" w:line="360" w:lineRule="auto"/>
        <w:ind w:firstLine="482" w:firstLineChars="200"/>
        <w:outlineLvl w:val="1"/>
        <w:rPr>
          <w:rFonts w:ascii="宋体"/>
          <w:b/>
          <w:bCs/>
          <w:sz w:val="24"/>
          <w:szCs w:val="24"/>
        </w:rPr>
      </w:pPr>
      <w:r>
        <w:rPr>
          <w:rFonts w:hint="eastAsia" w:ascii="宋体" w:hAnsi="宋体" w:cs="宋体"/>
          <w:b/>
          <w:bCs/>
          <w:sz w:val="24"/>
          <w:szCs w:val="24"/>
        </w:rPr>
        <w:t>注</w:t>
      </w:r>
      <w:r>
        <w:rPr>
          <w:rFonts w:hint="eastAsia" w:ascii="宋体" w:hAnsi="宋体" w:cs="宋体"/>
          <w:sz w:val="24"/>
          <w:szCs w:val="24"/>
        </w:rPr>
        <w:t>：</w:t>
      </w:r>
      <w:r>
        <w:rPr>
          <w:rFonts w:hint="eastAsia" w:ascii="宋体" w:hAnsi="宋体" w:cs="宋体"/>
          <w:b/>
          <w:bCs/>
          <w:sz w:val="24"/>
          <w:szCs w:val="24"/>
        </w:rPr>
        <w:t>以上各项设得分上（下）限，磋商小组依据磋商文件载明的方法评分，技术标得分是所有磋商小组成员评分均算而成，评分四舍五入精确到小数点后两位。</w:t>
      </w:r>
    </w:p>
    <w:p>
      <w:pPr>
        <w:snapToGrid w:val="0"/>
        <w:spacing w:line="360" w:lineRule="auto"/>
        <w:ind w:firstLine="482" w:firstLineChars="200"/>
        <w:rPr>
          <w:rFonts w:ascii="宋体"/>
          <w:b/>
          <w:bCs/>
          <w:color w:val="FF0000"/>
          <w:sz w:val="24"/>
          <w:szCs w:val="24"/>
        </w:rPr>
      </w:pPr>
      <w:r>
        <w:rPr>
          <w:rFonts w:hint="eastAsia" w:ascii="宋体" w:hAnsi="宋体" w:cs="宋体"/>
          <w:b/>
          <w:bCs/>
          <w:sz w:val="24"/>
          <w:szCs w:val="24"/>
        </w:rPr>
        <w:t>特别提醒：技术标所须提供的材料（须加盖供应商公章）按磋商文件要求装订、密封、递交。技术标涉及的相关原件请带至磋商现场备查。未携带原件或因携带原件不全所引起的后果由响应供应商自行承担。</w:t>
      </w:r>
    </w:p>
    <w:p>
      <w:pPr>
        <w:adjustRightInd w:val="0"/>
        <w:snapToGrid w:val="0"/>
        <w:spacing w:line="360" w:lineRule="auto"/>
        <w:ind w:firstLine="487" w:firstLineChars="202"/>
        <w:rPr>
          <w:rFonts w:ascii="宋体"/>
          <w:b/>
          <w:bCs/>
          <w:sz w:val="24"/>
          <w:szCs w:val="24"/>
        </w:rPr>
      </w:pPr>
      <w:r>
        <w:rPr>
          <w:rFonts w:hint="eastAsia" w:ascii="宋体" w:hAnsi="宋体" w:cs="宋体"/>
          <w:b/>
          <w:bCs/>
          <w:sz w:val="24"/>
          <w:szCs w:val="24"/>
        </w:rPr>
        <w:t>（二）商务标评分（满分3</w:t>
      </w:r>
      <w:r>
        <w:rPr>
          <w:rFonts w:ascii="宋体" w:hAnsi="宋体" w:cs="宋体"/>
          <w:b/>
          <w:bCs/>
          <w:sz w:val="24"/>
          <w:szCs w:val="24"/>
        </w:rPr>
        <w:t>0</w:t>
      </w:r>
      <w:r>
        <w:rPr>
          <w:rFonts w:hint="eastAsia" w:ascii="宋体" w:hAnsi="宋体" w:cs="宋体"/>
          <w:b/>
          <w:bCs/>
          <w:sz w:val="24"/>
          <w:szCs w:val="24"/>
        </w:rPr>
        <w:t>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hAnsi="宋体" w:cs="Arial"/>
          <w:kern w:val="0"/>
          <w:sz w:val="24"/>
          <w:szCs w:val="24"/>
        </w:rPr>
      </w:pPr>
      <w:r>
        <w:rPr>
          <w:rFonts w:hint="eastAsia" w:ascii="宋体" w:hAnsi="宋体" w:cs="宋体"/>
          <w:bCs/>
          <w:sz w:val="24"/>
          <w:szCs w:val="24"/>
        </w:rPr>
        <w:t>1、</w:t>
      </w:r>
      <w:r>
        <w:rPr>
          <w:rFonts w:hint="eastAsia" w:ascii="宋体" w:hAnsi="宋体" w:cs="Arial"/>
          <w:kern w:val="0"/>
          <w:sz w:val="24"/>
          <w:szCs w:val="24"/>
        </w:rPr>
        <w:t>本次项目</w:t>
      </w:r>
      <w:r>
        <w:rPr>
          <w:rFonts w:hint="eastAsia" w:ascii="宋体" w:hAnsi="宋体" w:cs="Arial"/>
          <w:kern w:val="0"/>
          <w:sz w:val="24"/>
          <w:szCs w:val="24"/>
          <w:lang w:val="en-US" w:eastAsia="zh-CN"/>
        </w:rPr>
        <w:t>最高限价为总价</w:t>
      </w:r>
      <w:r>
        <w:rPr>
          <w:rFonts w:hint="eastAsia" w:ascii="宋体" w:hAnsi="宋体" w:cs="Arial"/>
          <w:kern w:val="0"/>
          <w:sz w:val="24"/>
          <w:szCs w:val="24"/>
        </w:rPr>
        <w:t>人民币</w:t>
      </w:r>
      <w:r>
        <w:rPr>
          <w:rFonts w:hint="eastAsia" w:ascii="宋体" w:hAnsi="宋体" w:cs="宋体"/>
          <w:snapToGrid w:val="0"/>
          <w:kern w:val="0"/>
          <w:sz w:val="24"/>
          <w:szCs w:val="24"/>
          <w:lang w:val="en-US" w:eastAsia="zh-CN"/>
        </w:rPr>
        <w:t>149850.00</w:t>
      </w:r>
      <w:r>
        <w:rPr>
          <w:rFonts w:hint="eastAsia" w:ascii="宋体" w:hAnsi="宋体" w:cs="Arial"/>
          <w:kern w:val="0"/>
          <w:sz w:val="24"/>
          <w:szCs w:val="24"/>
        </w:rPr>
        <w:t>元</w:t>
      </w:r>
      <w:r>
        <w:rPr>
          <w:rFonts w:hint="eastAsia" w:ascii="宋体" w:hAnsi="宋体" w:cs="Arial"/>
          <w:kern w:val="0"/>
          <w:sz w:val="24"/>
          <w:szCs w:val="24"/>
          <w:lang w:eastAsia="zh-CN"/>
        </w:rPr>
        <w:t>，</w:t>
      </w:r>
      <w:r>
        <w:rPr>
          <w:rFonts w:hint="eastAsia" w:ascii="宋体" w:hAnsi="宋体" w:cs="Arial"/>
          <w:kern w:val="0"/>
          <w:sz w:val="24"/>
          <w:szCs w:val="24"/>
          <w:lang w:val="en-US" w:eastAsia="zh-CN"/>
        </w:rPr>
        <w:t>单价人民币2.70元/份，</w:t>
      </w:r>
      <w:r>
        <w:rPr>
          <w:rFonts w:hint="eastAsia" w:ascii="宋体" w:hAnsi="宋体" w:cs="宋体"/>
          <w:b/>
          <w:sz w:val="24"/>
          <w:szCs w:val="24"/>
          <w:lang w:val="en-US" w:eastAsia="zh-CN"/>
        </w:rPr>
        <w:t>单价</w:t>
      </w:r>
      <w:r>
        <w:rPr>
          <w:rFonts w:hint="eastAsia" w:ascii="宋体" w:hAnsi="宋体" w:eastAsia="宋体" w:cs="宋体"/>
          <w:b/>
          <w:sz w:val="24"/>
          <w:szCs w:val="24"/>
        </w:rPr>
        <w:t>报价</w:t>
      </w:r>
      <w:r>
        <w:rPr>
          <w:rFonts w:hint="eastAsia" w:ascii="宋体" w:hAnsi="宋体" w:cs="宋体"/>
          <w:b/>
          <w:sz w:val="24"/>
          <w:szCs w:val="24"/>
          <w:lang w:val="en-US" w:eastAsia="zh-CN"/>
        </w:rPr>
        <w:t>和总价报价均</w:t>
      </w:r>
      <w:r>
        <w:rPr>
          <w:rFonts w:hint="eastAsia" w:ascii="宋体" w:hAnsi="宋体" w:eastAsia="宋体" w:cs="宋体"/>
          <w:b/>
          <w:sz w:val="24"/>
          <w:szCs w:val="24"/>
        </w:rPr>
        <w:t>不得</w:t>
      </w:r>
      <w:r>
        <w:rPr>
          <w:rFonts w:hint="eastAsia" w:ascii="宋体" w:hAnsi="宋体" w:cs="宋体"/>
          <w:b/>
          <w:sz w:val="24"/>
          <w:szCs w:val="24"/>
          <w:lang w:val="en-US" w:eastAsia="zh-CN"/>
        </w:rPr>
        <w:t>高于或等于最高</w:t>
      </w:r>
      <w:r>
        <w:rPr>
          <w:rFonts w:hint="eastAsia" w:ascii="宋体" w:hAnsi="宋体" w:eastAsia="宋体" w:cs="宋体"/>
          <w:b/>
          <w:sz w:val="24"/>
          <w:szCs w:val="24"/>
        </w:rPr>
        <w:t>限价，否则做无效</w:t>
      </w:r>
      <w:r>
        <w:rPr>
          <w:rFonts w:hint="eastAsia" w:ascii="宋体" w:hAnsi="宋体" w:cs="宋体"/>
          <w:b/>
          <w:sz w:val="24"/>
          <w:szCs w:val="24"/>
          <w:lang w:val="en-US" w:eastAsia="zh-CN"/>
        </w:rPr>
        <w:t>响应</w:t>
      </w:r>
      <w:r>
        <w:rPr>
          <w:rFonts w:hint="eastAsia" w:ascii="宋体" w:hAnsi="宋体" w:eastAsia="宋体" w:cs="宋体"/>
          <w:b/>
          <w:sz w:val="24"/>
          <w:szCs w:val="24"/>
        </w:rPr>
        <w:t>处理。</w:t>
      </w:r>
    </w:p>
    <w:p>
      <w:pPr>
        <w:snapToGrid w:val="0"/>
        <w:spacing w:line="360" w:lineRule="auto"/>
        <w:ind w:firstLine="484" w:firstLineChars="202"/>
        <w:rPr>
          <w:rFonts w:ascii="宋体" w:hAnsi="宋体"/>
          <w:snapToGrid w:val="0"/>
          <w:kern w:val="0"/>
          <w:sz w:val="24"/>
          <w:szCs w:val="24"/>
        </w:rPr>
      </w:pPr>
      <w:r>
        <w:rPr>
          <w:rFonts w:ascii="宋体" w:hAnsi="宋体"/>
          <w:snapToGrid w:val="0"/>
          <w:kern w:val="0"/>
          <w:sz w:val="24"/>
          <w:szCs w:val="24"/>
        </w:rPr>
        <w:t>2</w:t>
      </w:r>
      <w:r>
        <w:rPr>
          <w:rFonts w:hint="eastAsia" w:ascii="宋体" w:hAnsi="宋体"/>
          <w:snapToGrid w:val="0"/>
          <w:kern w:val="0"/>
          <w:sz w:val="24"/>
          <w:szCs w:val="24"/>
        </w:rPr>
        <w:t>、价格分采用低价优先法计算，即满足磋商文件要求且磋商响应最终报价最低的磋商响应报价为评标基准价，其供应商商务标为30分。其他供应商的商务标得分别按照下列公式计算：</w:t>
      </w:r>
    </w:p>
    <w:p>
      <w:pPr>
        <w:snapToGrid w:val="0"/>
        <w:spacing w:line="360" w:lineRule="auto"/>
        <w:ind w:firstLine="570"/>
        <w:rPr>
          <w:rFonts w:hint="eastAsia" w:ascii="宋体" w:hAnsi="宋体" w:eastAsia="宋体" w:cs="宋体"/>
          <w:b/>
          <w:sz w:val="24"/>
          <w:szCs w:val="24"/>
        </w:rPr>
      </w:pPr>
      <w:r>
        <w:rPr>
          <w:rFonts w:hint="eastAsia" w:ascii="宋体" w:hAnsi="宋体"/>
          <w:b/>
          <w:snapToGrid w:val="0"/>
          <w:kern w:val="0"/>
          <w:sz w:val="24"/>
          <w:szCs w:val="24"/>
        </w:rPr>
        <w:t>商务标得分=</w:t>
      </w:r>
      <w:r>
        <w:rPr>
          <w:rFonts w:hint="eastAsia" w:ascii="宋体" w:hAnsi="宋体" w:eastAsia="宋体" w:cs="宋体"/>
          <w:b/>
          <w:sz w:val="24"/>
          <w:szCs w:val="24"/>
        </w:rPr>
        <w:t>（磋商基准价/最后磋商报价）×</w:t>
      </w:r>
      <w:r>
        <w:rPr>
          <w:rFonts w:hint="eastAsia" w:ascii="宋体" w:hAnsi="宋体" w:eastAsia="宋体" w:cs="宋体"/>
          <w:b/>
          <w:sz w:val="24"/>
          <w:szCs w:val="24"/>
          <w:lang w:val="en-US" w:eastAsia="zh-CN"/>
        </w:rPr>
        <w:t>3</w:t>
      </w:r>
      <w:r>
        <w:rPr>
          <w:rFonts w:hint="eastAsia" w:ascii="宋体" w:hAnsi="宋体" w:eastAsia="宋体" w:cs="宋体"/>
          <w:b/>
          <w:sz w:val="24"/>
          <w:szCs w:val="24"/>
        </w:rPr>
        <w:t>0%×100</w:t>
      </w:r>
    </w:p>
    <w:p>
      <w:pPr>
        <w:snapToGrid w:val="0"/>
        <w:spacing w:line="360" w:lineRule="auto"/>
        <w:ind w:firstLine="570"/>
        <w:rPr>
          <w:sz w:val="24"/>
          <w:szCs w:val="24"/>
        </w:rPr>
      </w:pPr>
      <w:r>
        <w:rPr>
          <w:rFonts w:hint="eastAsia" w:cs="宋体"/>
          <w:sz w:val="24"/>
          <w:szCs w:val="24"/>
        </w:rPr>
        <w:t>（三）磋商争议</w:t>
      </w:r>
    </w:p>
    <w:p>
      <w:pPr>
        <w:snapToGrid w:val="0"/>
        <w:spacing w:line="360" w:lineRule="auto"/>
        <w:ind w:firstLine="573"/>
        <w:rPr>
          <w:sz w:val="24"/>
          <w:szCs w:val="24"/>
        </w:rPr>
      </w:pPr>
      <w:r>
        <w:rPr>
          <w:rFonts w:hint="eastAsia" w:cs="宋体"/>
          <w:sz w:val="24"/>
          <w:szCs w:val="24"/>
        </w:rPr>
        <w:t>磋商时磋商小组成员对评标的细则若有争议，由磋商小组集体讨论确定，并对未尽情况有最终解释权。</w:t>
      </w:r>
    </w:p>
    <w:p>
      <w:pPr>
        <w:snapToGrid w:val="0"/>
        <w:spacing w:line="360" w:lineRule="auto"/>
        <w:ind w:firstLine="573"/>
        <w:rPr>
          <w:sz w:val="24"/>
          <w:szCs w:val="24"/>
        </w:rPr>
      </w:pPr>
      <w:r>
        <w:rPr>
          <w:rFonts w:hint="eastAsia" w:cs="宋体"/>
          <w:sz w:val="24"/>
          <w:szCs w:val="24"/>
        </w:rPr>
        <w:t>（四）落标原因</w:t>
      </w:r>
    </w:p>
    <w:p>
      <w:pPr>
        <w:snapToGrid w:val="0"/>
        <w:spacing w:line="360" w:lineRule="auto"/>
        <w:ind w:firstLine="573"/>
        <w:rPr>
          <w:sz w:val="24"/>
          <w:szCs w:val="24"/>
        </w:rPr>
      </w:pPr>
      <w:r>
        <w:rPr>
          <w:rFonts w:hint="eastAsia" w:cs="宋体"/>
          <w:sz w:val="24"/>
          <w:szCs w:val="24"/>
        </w:rPr>
        <w:t>磋商小组不对落标的磋商响应供应商做落标原因的解释。</w:t>
      </w:r>
    </w:p>
    <w:p>
      <w:pPr>
        <w:snapToGrid w:val="0"/>
        <w:spacing w:line="360" w:lineRule="auto"/>
        <w:ind w:firstLine="482" w:firstLineChars="200"/>
        <w:rPr>
          <w:rFonts w:ascii="宋体"/>
          <w:b/>
          <w:bCs/>
          <w:sz w:val="24"/>
          <w:szCs w:val="24"/>
        </w:rPr>
      </w:pPr>
      <w:r>
        <w:rPr>
          <w:rFonts w:hint="eastAsia" w:ascii="宋体" w:hAnsi="宋体" w:cs="宋体"/>
          <w:b/>
          <w:bCs/>
          <w:sz w:val="24"/>
          <w:szCs w:val="24"/>
        </w:rPr>
        <w:t>七、政府采购政策</w:t>
      </w:r>
    </w:p>
    <w:p>
      <w:pPr>
        <w:snapToGrid w:val="0"/>
        <w:spacing w:line="360" w:lineRule="auto"/>
        <w:ind w:left="487"/>
        <w:outlineLvl w:val="3"/>
        <w:rPr>
          <w:sz w:val="24"/>
          <w:szCs w:val="24"/>
        </w:rPr>
      </w:pPr>
      <w:bookmarkStart w:id="62" w:name="_Hlk69391943"/>
      <w:r>
        <w:rPr>
          <w:b/>
          <w:bCs/>
          <w:sz w:val="24"/>
          <w:szCs w:val="24"/>
        </w:rPr>
        <w:t>1</w:t>
      </w:r>
      <w:r>
        <w:rPr>
          <w:rFonts w:hint="eastAsia"/>
          <w:b/>
          <w:bCs/>
          <w:sz w:val="24"/>
          <w:szCs w:val="24"/>
        </w:rPr>
        <w:t>、针对中小微型企业的采购政策</w:t>
      </w:r>
    </w:p>
    <w:p>
      <w:pPr>
        <w:snapToGrid w:val="0"/>
        <w:spacing w:line="360" w:lineRule="auto"/>
        <w:ind w:firstLine="484" w:firstLineChars="202"/>
        <w:rPr>
          <w:rFonts w:cs="宋体"/>
          <w:b/>
          <w:bCs/>
          <w:sz w:val="24"/>
          <w:szCs w:val="24"/>
        </w:rPr>
      </w:pPr>
      <w:bookmarkStart w:id="63" w:name="_Hlk67609383"/>
      <w:r>
        <w:rPr>
          <w:rFonts w:hint="eastAsia" w:cs="宋体"/>
          <w:sz w:val="24"/>
          <w:szCs w:val="24"/>
        </w:rPr>
        <w:t>（</w:t>
      </w:r>
      <w:r>
        <w:rPr>
          <w:sz w:val="24"/>
          <w:szCs w:val="24"/>
        </w:rPr>
        <w:t>1</w:t>
      </w:r>
      <w:r>
        <w:rPr>
          <w:rFonts w:hint="eastAsia" w:cs="宋体"/>
          <w:sz w:val="24"/>
          <w:szCs w:val="24"/>
        </w:rPr>
        <w:t>）根据《政府采购促进中小企业发展管理办法》（财库﹝</w:t>
      </w:r>
      <w:r>
        <w:rPr>
          <w:sz w:val="24"/>
          <w:szCs w:val="24"/>
        </w:rPr>
        <w:t>2020</w:t>
      </w:r>
      <w:r>
        <w:rPr>
          <w:rFonts w:hint="eastAsia" w:cs="宋体"/>
          <w:sz w:val="24"/>
          <w:szCs w:val="24"/>
        </w:rPr>
        <w:t>﹞</w:t>
      </w:r>
      <w:r>
        <w:rPr>
          <w:sz w:val="24"/>
          <w:szCs w:val="24"/>
        </w:rPr>
        <w:t>46</w:t>
      </w:r>
      <w:r>
        <w:rPr>
          <w:rFonts w:hint="eastAsia" w:cs="宋体"/>
          <w:sz w:val="24"/>
          <w:szCs w:val="24"/>
        </w:rPr>
        <w:t>号）的第四条：</w:t>
      </w:r>
      <w:r>
        <w:rPr>
          <w:rFonts w:hint="eastAsia" w:cs="宋体"/>
          <w:b/>
          <w:bCs/>
          <w:sz w:val="24"/>
          <w:szCs w:val="24"/>
        </w:rPr>
        <w:t>本次采购的项目，其响应供应商提供的</w:t>
      </w:r>
      <w:r>
        <w:rPr>
          <w:rFonts w:hint="eastAsia" w:cs="宋体"/>
          <w:b/>
          <w:bCs/>
          <w:sz w:val="24"/>
          <w:szCs w:val="24"/>
          <w:u w:val="single"/>
        </w:rPr>
        <w:t>服务</w:t>
      </w:r>
      <w:r>
        <w:rPr>
          <w:rFonts w:hint="eastAsia" w:cs="宋体"/>
          <w:b/>
          <w:bCs/>
          <w:sz w:val="24"/>
          <w:szCs w:val="24"/>
        </w:rPr>
        <w:t>符合《关于印发中小企业划型标准规定的通知》（工信部联企业〔</w:t>
      </w:r>
      <w:r>
        <w:rPr>
          <w:b/>
          <w:bCs/>
          <w:sz w:val="24"/>
          <w:szCs w:val="24"/>
        </w:rPr>
        <w:t>2011</w:t>
      </w:r>
      <w:r>
        <w:rPr>
          <w:rFonts w:hint="eastAsia" w:cs="宋体"/>
          <w:b/>
          <w:bCs/>
          <w:sz w:val="24"/>
          <w:szCs w:val="24"/>
        </w:rPr>
        <w:t>〕</w:t>
      </w:r>
      <w:r>
        <w:rPr>
          <w:b/>
          <w:bCs/>
          <w:sz w:val="24"/>
          <w:szCs w:val="24"/>
        </w:rPr>
        <w:t>300</w:t>
      </w:r>
      <w:r>
        <w:rPr>
          <w:rFonts w:hint="eastAsia" w:cs="宋体"/>
          <w:b/>
          <w:bCs/>
          <w:sz w:val="24"/>
          <w:szCs w:val="24"/>
        </w:rPr>
        <w:t>号）中的</w:t>
      </w:r>
      <w:bookmarkStart w:id="64" w:name="_Hlk62787617"/>
      <w:r>
        <w:rPr>
          <w:rFonts w:hint="eastAsia" w:cs="宋体"/>
          <w:b/>
          <w:bCs/>
          <w:sz w:val="24"/>
          <w:szCs w:val="24"/>
        </w:rPr>
        <w:t>中小企业</w:t>
      </w:r>
      <w:bookmarkStart w:id="65" w:name="_Hlk67153790"/>
      <w:r>
        <w:rPr>
          <w:rFonts w:hint="eastAsia" w:cs="宋体"/>
          <w:b/>
          <w:bCs/>
          <w:sz w:val="24"/>
          <w:szCs w:val="24"/>
          <w:u w:val="thick" w:color="FF0000"/>
        </w:rPr>
        <w:t>“其他未列明行业”</w:t>
      </w:r>
      <w:r>
        <w:rPr>
          <w:rFonts w:hint="eastAsia" w:cs="宋体"/>
          <w:b/>
          <w:bCs/>
          <w:sz w:val="24"/>
          <w:szCs w:val="24"/>
        </w:rPr>
        <w:t>类</w:t>
      </w:r>
      <w:bookmarkEnd w:id="65"/>
      <w:r>
        <w:rPr>
          <w:rFonts w:hint="eastAsia" w:cs="宋体"/>
          <w:b/>
          <w:bCs/>
          <w:sz w:val="24"/>
          <w:szCs w:val="24"/>
        </w:rPr>
        <w:t>的划型标准规定</w:t>
      </w:r>
      <w:bookmarkEnd w:id="64"/>
      <w:r>
        <w:rPr>
          <w:rFonts w:hint="eastAsia" w:cs="宋体"/>
          <w:b/>
          <w:bCs/>
          <w:sz w:val="24"/>
          <w:szCs w:val="24"/>
        </w:rPr>
        <w:t>的，将享受中小企业扶持政策。</w:t>
      </w:r>
    </w:p>
    <w:p>
      <w:pPr>
        <w:pStyle w:val="2"/>
        <w:snapToGrid w:val="0"/>
        <w:spacing w:after="0" w:line="360" w:lineRule="auto"/>
        <w:ind w:firstLine="482"/>
        <w:rPr>
          <w:rFonts w:cs="宋体"/>
          <w:b/>
          <w:bCs/>
          <w:sz w:val="24"/>
          <w:szCs w:val="24"/>
          <w:u w:val="thick" w:color="FF0000"/>
        </w:rPr>
      </w:pPr>
      <w:r>
        <w:rPr>
          <w:rFonts w:hint="eastAsia" w:cs="宋体"/>
          <w:b/>
          <w:bCs/>
          <w:sz w:val="24"/>
          <w:szCs w:val="24"/>
          <w:u w:val="thick" w:color="FF0000"/>
        </w:rPr>
        <w:t>“其他未列明行业”类中小企业划型标准：</w:t>
      </w:r>
      <w:r>
        <w:rPr>
          <w:rFonts w:hint="eastAsia" w:ascii="宋体" w:hAnsi="宋体" w:cs="宋体"/>
          <w:kern w:val="0"/>
          <w:sz w:val="24"/>
          <w:szCs w:val="24"/>
        </w:rPr>
        <w:t>从业人员300人以下的为中小微型企业。其中，从业人员100人及以上的为中型企业；</w:t>
      </w:r>
      <w:r>
        <w:rPr>
          <w:rFonts w:hint="eastAsia" w:cs="宋体"/>
          <w:b/>
          <w:bCs/>
          <w:sz w:val="24"/>
          <w:szCs w:val="24"/>
          <w:u w:val="thick" w:color="FF0000"/>
        </w:rPr>
        <w:t>从业人员10人及以上的为小型企业；从业人员10人以下的为微型企业。</w:t>
      </w:r>
    </w:p>
    <w:p>
      <w:pPr>
        <w:pStyle w:val="2"/>
        <w:snapToGrid w:val="0"/>
        <w:spacing w:after="0" w:line="360" w:lineRule="auto"/>
        <w:ind w:firstLine="480"/>
        <w:rPr>
          <w:sz w:val="24"/>
          <w:szCs w:val="24"/>
        </w:rPr>
      </w:pPr>
      <w:r>
        <w:rPr>
          <w:rFonts w:hint="eastAsia" w:cs="宋体"/>
          <w:sz w:val="24"/>
          <w:szCs w:val="24"/>
        </w:rPr>
        <w:t>（</w:t>
      </w:r>
      <w:r>
        <w:rPr>
          <w:sz w:val="24"/>
          <w:szCs w:val="24"/>
        </w:rPr>
        <w:t>2</w:t>
      </w:r>
      <w:r>
        <w:rPr>
          <w:rFonts w:hint="eastAsia" w:cs="宋体"/>
          <w:sz w:val="24"/>
          <w:szCs w:val="24"/>
        </w:rPr>
        <w:t>）根据《政府采购促进中小企业发展管理办法》（财库﹝</w:t>
      </w:r>
      <w:r>
        <w:rPr>
          <w:sz w:val="24"/>
          <w:szCs w:val="24"/>
        </w:rPr>
        <w:t>2020</w:t>
      </w:r>
      <w:r>
        <w:rPr>
          <w:rFonts w:hint="eastAsia" w:cs="宋体"/>
          <w:sz w:val="24"/>
          <w:szCs w:val="24"/>
        </w:rPr>
        <w:t>﹞</w:t>
      </w:r>
      <w:r>
        <w:rPr>
          <w:sz w:val="24"/>
          <w:szCs w:val="24"/>
        </w:rPr>
        <w:t>46</w:t>
      </w:r>
      <w:r>
        <w:rPr>
          <w:rFonts w:hint="eastAsia" w:cs="宋体"/>
          <w:sz w:val="24"/>
          <w:szCs w:val="24"/>
        </w:rPr>
        <w:t>号）的第九条规定，</w:t>
      </w:r>
      <w:r>
        <w:rPr>
          <w:rFonts w:hint="eastAsia" w:cs="宋体"/>
          <w:b/>
          <w:bCs/>
          <w:sz w:val="24"/>
          <w:szCs w:val="24"/>
          <w:u w:val="thick" w:color="FF0000"/>
        </w:rPr>
        <w:t>响应供应商提供竞标的管护服务是由小型、微型企业提供的</w:t>
      </w:r>
      <w:r>
        <w:rPr>
          <w:rFonts w:hint="eastAsia" w:cs="宋体"/>
          <w:sz w:val="24"/>
          <w:szCs w:val="24"/>
        </w:rPr>
        <w:t>，该响应供应商的报价将给予评审价格调整，具体方法如下：</w:t>
      </w:r>
    </w:p>
    <w:p>
      <w:pPr>
        <w:shd w:val="clear" w:color="auto" w:fill="FFFFFF"/>
        <w:snapToGrid w:val="0"/>
        <w:spacing w:line="360" w:lineRule="auto"/>
        <w:ind w:firstLine="480" w:firstLineChars="200"/>
        <w:jc w:val="left"/>
        <w:rPr>
          <w:rFonts w:cs="宋体"/>
          <w:sz w:val="24"/>
          <w:szCs w:val="24"/>
        </w:rPr>
      </w:pPr>
      <w:bookmarkStart w:id="66" w:name="_Hlk68620722"/>
      <w:r>
        <w:rPr>
          <w:rFonts w:hint="eastAsia" w:cs="宋体"/>
          <w:sz w:val="24"/>
          <w:szCs w:val="24"/>
        </w:rPr>
        <w:t>①</w:t>
      </w:r>
      <w:r>
        <w:rPr>
          <w:rFonts w:cs="宋体"/>
          <w:sz w:val="24"/>
          <w:szCs w:val="24"/>
        </w:rPr>
        <w:t>对</w:t>
      </w:r>
      <w:r>
        <w:rPr>
          <w:rFonts w:hint="eastAsia" w:cs="宋体"/>
          <w:sz w:val="24"/>
          <w:szCs w:val="24"/>
        </w:rPr>
        <w:t>符合要求的磋商响应单位的磋商响应报价</w:t>
      </w:r>
      <w:r>
        <w:rPr>
          <w:rFonts w:cs="宋体"/>
          <w:sz w:val="24"/>
          <w:szCs w:val="24"/>
        </w:rPr>
        <w:t>给予</w:t>
      </w:r>
      <w:r>
        <w:rPr>
          <w:rFonts w:hint="eastAsia" w:cs="宋体"/>
          <w:sz w:val="24"/>
          <w:szCs w:val="24"/>
        </w:rPr>
        <w:t>10</w:t>
      </w:r>
      <w:r>
        <w:rPr>
          <w:rFonts w:cs="宋体"/>
          <w:sz w:val="24"/>
          <w:szCs w:val="24"/>
        </w:rPr>
        <w:t>%（</w:t>
      </w:r>
      <w:r>
        <w:rPr>
          <w:rFonts w:hint="eastAsia" w:cs="宋体"/>
          <w:sz w:val="24"/>
          <w:szCs w:val="24"/>
        </w:rPr>
        <w:t>苏财购【2020】52号）</w:t>
      </w:r>
      <w:r>
        <w:rPr>
          <w:rFonts w:cs="宋体"/>
          <w:sz w:val="24"/>
          <w:szCs w:val="24"/>
        </w:rPr>
        <w:t>的扣除价格，用扣除后的价格参与</w:t>
      </w:r>
      <w:r>
        <w:rPr>
          <w:rFonts w:hint="eastAsia" w:cs="宋体"/>
          <w:sz w:val="24"/>
          <w:szCs w:val="24"/>
        </w:rPr>
        <w:t>磋商响应报价的评分，如果成交，则以其磋商响应报价作为成交价。</w:t>
      </w:r>
    </w:p>
    <w:p>
      <w:pPr>
        <w:snapToGrid w:val="0"/>
        <w:spacing w:line="360" w:lineRule="auto"/>
        <w:ind w:firstLine="480" w:firstLineChars="200"/>
        <w:rPr>
          <w:rFonts w:cs="宋体"/>
          <w:sz w:val="24"/>
          <w:szCs w:val="24"/>
        </w:rPr>
      </w:pPr>
      <w:r>
        <w:rPr>
          <w:rFonts w:hint="eastAsia" w:cs="宋体"/>
          <w:sz w:val="24"/>
          <w:szCs w:val="24"/>
        </w:rPr>
        <w:t>②参加本次政府采购活动，符合要求的磋商响应单位</w:t>
      </w:r>
      <w:r>
        <w:rPr>
          <w:rFonts w:cs="宋体"/>
          <w:sz w:val="24"/>
          <w:szCs w:val="24"/>
        </w:rPr>
        <w:t>须严格按</w:t>
      </w:r>
      <w:r>
        <w:rPr>
          <w:rFonts w:hint="eastAsia" w:cs="宋体"/>
          <w:sz w:val="24"/>
          <w:szCs w:val="24"/>
        </w:rPr>
        <w:t>《政府采购促进中小企业发展管理办法》（财库【2020】46号）</w:t>
      </w:r>
      <w:r>
        <w:rPr>
          <w:rFonts w:cs="宋体"/>
          <w:sz w:val="24"/>
          <w:szCs w:val="24"/>
        </w:rPr>
        <w:t>的</w:t>
      </w:r>
      <w:r>
        <w:rPr>
          <w:rFonts w:hint="eastAsia" w:cs="宋体"/>
          <w:sz w:val="24"/>
          <w:szCs w:val="24"/>
        </w:rPr>
        <w:t>文件要求，出具</w:t>
      </w:r>
      <w:r>
        <w:rPr>
          <w:rFonts w:cs="宋体"/>
          <w:sz w:val="24"/>
          <w:szCs w:val="24"/>
        </w:rPr>
        <w:t>填报“中小企业声明函”</w:t>
      </w:r>
      <w:bookmarkStart w:id="67" w:name="_Hlk69663234"/>
      <w:r>
        <w:rPr>
          <w:rFonts w:cs="宋体"/>
          <w:sz w:val="24"/>
          <w:szCs w:val="24"/>
        </w:rPr>
        <w:t>（格式见</w:t>
      </w:r>
      <w:r>
        <w:rPr>
          <w:rFonts w:hint="eastAsia" w:cs="宋体"/>
          <w:sz w:val="24"/>
          <w:szCs w:val="24"/>
        </w:rPr>
        <w:t>第八章</w:t>
      </w:r>
      <w:r>
        <w:rPr>
          <w:rFonts w:cs="宋体"/>
          <w:sz w:val="24"/>
          <w:szCs w:val="24"/>
        </w:rPr>
        <w:t>）</w:t>
      </w:r>
      <w:bookmarkEnd w:id="67"/>
      <w:r>
        <w:rPr>
          <w:rFonts w:hint="eastAsia" w:cs="宋体"/>
          <w:sz w:val="24"/>
          <w:szCs w:val="24"/>
        </w:rPr>
        <w:t>；</w:t>
      </w:r>
    </w:p>
    <w:bookmarkEnd w:id="66"/>
    <w:p>
      <w:pPr>
        <w:snapToGrid w:val="0"/>
        <w:spacing w:line="360" w:lineRule="auto"/>
        <w:ind w:firstLine="484" w:firstLineChars="202"/>
        <w:rPr>
          <w:sz w:val="24"/>
          <w:szCs w:val="24"/>
        </w:rPr>
      </w:pPr>
      <w:r>
        <w:rPr>
          <w:rFonts w:hint="eastAsia" w:cs="宋体"/>
          <w:sz w:val="24"/>
          <w:szCs w:val="24"/>
        </w:rPr>
        <w:t>（</w:t>
      </w:r>
      <w:r>
        <w:rPr>
          <w:sz w:val="24"/>
          <w:szCs w:val="24"/>
        </w:rPr>
        <w:t>3</w:t>
      </w:r>
      <w:r>
        <w:rPr>
          <w:rFonts w:hint="eastAsia" w:cs="宋体"/>
          <w:sz w:val="24"/>
          <w:szCs w:val="24"/>
        </w:rPr>
        <w:t>）</w:t>
      </w:r>
      <w:r>
        <w:rPr>
          <w:rFonts w:hint="eastAsia" w:cs="宋体"/>
          <w:b/>
          <w:bCs/>
          <w:sz w:val="24"/>
          <w:szCs w:val="24"/>
          <w:u w:val="thick" w:color="FF0000"/>
        </w:rPr>
        <w:t>不符合上述要求的响应供应商，无须提供“中小企业声明函”</w:t>
      </w:r>
      <w:r>
        <w:rPr>
          <w:rFonts w:hint="eastAsia" w:cs="宋体"/>
          <w:sz w:val="24"/>
          <w:szCs w:val="24"/>
        </w:rPr>
        <w:t>。</w:t>
      </w:r>
    </w:p>
    <w:bookmarkEnd w:id="63"/>
    <w:p>
      <w:pPr>
        <w:snapToGrid w:val="0"/>
        <w:spacing w:line="360" w:lineRule="auto"/>
        <w:ind w:firstLine="472" w:firstLineChars="196"/>
        <w:outlineLvl w:val="3"/>
        <w:rPr>
          <w:b/>
          <w:bCs/>
          <w:sz w:val="24"/>
          <w:szCs w:val="24"/>
        </w:rPr>
      </w:pPr>
      <w:r>
        <w:rPr>
          <w:b/>
          <w:bCs/>
          <w:sz w:val="24"/>
          <w:szCs w:val="24"/>
        </w:rPr>
        <w:t>2</w:t>
      </w:r>
      <w:r>
        <w:rPr>
          <w:rFonts w:hint="eastAsia"/>
          <w:b/>
          <w:bCs/>
          <w:sz w:val="24"/>
          <w:szCs w:val="24"/>
        </w:rPr>
        <w:t>.针对残疾人福利性单位的采购政策</w:t>
      </w:r>
      <w:bookmarkStart w:id="68" w:name="_Hlk69857671"/>
    </w:p>
    <w:bookmarkEnd w:id="68"/>
    <w:p>
      <w:pPr>
        <w:snapToGrid w:val="0"/>
        <w:spacing w:line="360" w:lineRule="auto"/>
        <w:ind w:firstLine="470" w:firstLineChars="196"/>
        <w:outlineLvl w:val="3"/>
        <w:rPr>
          <w:sz w:val="24"/>
          <w:szCs w:val="24"/>
        </w:rPr>
      </w:pPr>
      <w:r>
        <w:rPr>
          <w:rFonts w:hint="eastAsia"/>
          <w:sz w:val="24"/>
          <w:szCs w:val="24"/>
        </w:rPr>
        <w:t>本项目不涉及。</w:t>
      </w:r>
    </w:p>
    <w:p>
      <w:pPr>
        <w:snapToGrid w:val="0"/>
        <w:spacing w:line="360" w:lineRule="auto"/>
        <w:ind w:firstLine="472" w:firstLineChars="196"/>
        <w:outlineLvl w:val="3"/>
        <w:rPr>
          <w:b/>
          <w:bCs/>
          <w:sz w:val="24"/>
          <w:szCs w:val="24"/>
        </w:rPr>
      </w:pPr>
      <w:r>
        <w:rPr>
          <w:b/>
          <w:bCs/>
          <w:sz w:val="24"/>
          <w:szCs w:val="24"/>
        </w:rPr>
        <w:t>3.</w:t>
      </w:r>
      <w:r>
        <w:rPr>
          <w:rFonts w:hint="eastAsia"/>
          <w:b/>
          <w:bCs/>
          <w:sz w:val="24"/>
          <w:szCs w:val="24"/>
        </w:rPr>
        <w:t>针对监狱企业的采购政策</w:t>
      </w:r>
    </w:p>
    <w:p>
      <w:pPr>
        <w:snapToGrid w:val="0"/>
        <w:spacing w:line="360" w:lineRule="auto"/>
        <w:ind w:firstLine="470" w:firstLineChars="196"/>
        <w:outlineLvl w:val="3"/>
        <w:rPr>
          <w:sz w:val="24"/>
          <w:szCs w:val="24"/>
        </w:rPr>
      </w:pPr>
      <w:bookmarkStart w:id="69" w:name="_Hlk69249023"/>
      <w:r>
        <w:rPr>
          <w:rFonts w:hint="eastAsia"/>
          <w:sz w:val="24"/>
          <w:szCs w:val="24"/>
        </w:rPr>
        <w:t>本项目不涉及。</w:t>
      </w:r>
      <w:bookmarkEnd w:id="69"/>
    </w:p>
    <w:p>
      <w:pPr>
        <w:snapToGrid w:val="0"/>
        <w:spacing w:line="360" w:lineRule="auto"/>
        <w:ind w:firstLine="472" w:firstLineChars="196"/>
        <w:outlineLvl w:val="3"/>
        <w:rPr>
          <w:sz w:val="24"/>
          <w:szCs w:val="24"/>
        </w:rPr>
      </w:pPr>
      <w:r>
        <w:rPr>
          <w:rFonts w:hint="eastAsia"/>
          <w:b/>
          <w:bCs/>
          <w:sz w:val="24"/>
          <w:szCs w:val="24"/>
        </w:rPr>
        <w:t>4</w:t>
      </w:r>
      <w:r>
        <w:rPr>
          <w:b/>
          <w:bCs/>
          <w:sz w:val="24"/>
          <w:szCs w:val="24"/>
        </w:rPr>
        <w:t>.</w:t>
      </w:r>
      <w:r>
        <w:rPr>
          <w:rFonts w:hint="eastAsia"/>
          <w:b/>
          <w:bCs/>
          <w:sz w:val="24"/>
          <w:szCs w:val="24"/>
        </w:rPr>
        <w:t>针对</w:t>
      </w:r>
      <w:bookmarkStart w:id="70" w:name="_Hlk69558865"/>
      <w:r>
        <w:rPr>
          <w:rFonts w:hint="eastAsia"/>
          <w:b/>
          <w:bCs/>
          <w:sz w:val="24"/>
          <w:szCs w:val="24"/>
        </w:rPr>
        <w:t>绿色采购的采购政策</w:t>
      </w:r>
      <w:bookmarkEnd w:id="70"/>
    </w:p>
    <w:p>
      <w:pPr>
        <w:snapToGrid w:val="0"/>
        <w:spacing w:line="360" w:lineRule="auto"/>
        <w:ind w:firstLine="470" w:firstLineChars="196"/>
        <w:outlineLvl w:val="3"/>
        <w:rPr>
          <w:sz w:val="24"/>
          <w:szCs w:val="24"/>
        </w:rPr>
      </w:pPr>
      <w:r>
        <w:rPr>
          <w:rFonts w:hint="eastAsia"/>
          <w:sz w:val="24"/>
          <w:szCs w:val="24"/>
        </w:rPr>
        <w:t>本项目不涉及。</w:t>
      </w:r>
    </w:p>
    <w:p>
      <w:pPr>
        <w:snapToGrid w:val="0"/>
        <w:spacing w:line="360" w:lineRule="auto"/>
        <w:ind w:firstLine="472" w:firstLineChars="196"/>
        <w:outlineLvl w:val="3"/>
        <w:rPr>
          <w:sz w:val="24"/>
          <w:szCs w:val="24"/>
        </w:rPr>
      </w:pPr>
      <w:r>
        <w:rPr>
          <w:rFonts w:hint="eastAsia"/>
          <w:b/>
          <w:bCs/>
          <w:sz w:val="24"/>
          <w:szCs w:val="24"/>
        </w:rPr>
        <w:t>5</w:t>
      </w:r>
      <w:r>
        <w:rPr>
          <w:b/>
          <w:bCs/>
          <w:sz w:val="24"/>
          <w:szCs w:val="24"/>
        </w:rPr>
        <w:t>.</w:t>
      </w:r>
      <w:r>
        <w:rPr>
          <w:rFonts w:hint="eastAsia"/>
          <w:b/>
          <w:bCs/>
          <w:sz w:val="24"/>
          <w:szCs w:val="24"/>
        </w:rPr>
        <w:t>享受政府采购政策的其他约定</w:t>
      </w:r>
    </w:p>
    <w:p>
      <w:pPr>
        <w:snapToGrid w:val="0"/>
        <w:spacing w:line="360" w:lineRule="auto"/>
        <w:ind w:firstLine="480" w:firstLineChars="200"/>
        <w:rPr>
          <w:rFonts w:cs="宋体"/>
          <w:sz w:val="24"/>
          <w:szCs w:val="24"/>
        </w:rPr>
      </w:pPr>
      <w:r>
        <w:rPr>
          <w:rFonts w:hint="eastAsia" w:cs="宋体"/>
          <w:sz w:val="24"/>
          <w:szCs w:val="24"/>
        </w:rPr>
        <w:t>本项目享受中小企业扶持政策的响应供应商一旦成交，因提供“中小企业声明函”的行为引发争议和影响本项目采购执行效率的，成交供应商应当按本项目采购人或采购代理机构的通知在2个工作日内提供供应商注册登记所在地的县级以上人民政府中小企业主管部门认定是小型、微型企业的证明原件，用以核对，逾期未提供的则视作提供的</w:t>
      </w:r>
      <w:bookmarkStart w:id="71" w:name="_Hlk69390628"/>
      <w:r>
        <w:rPr>
          <w:rFonts w:hint="eastAsia" w:cs="宋体"/>
          <w:sz w:val="24"/>
          <w:szCs w:val="24"/>
        </w:rPr>
        <w:t>“中小企业声明函”内容不实，</w:t>
      </w:r>
      <w:r>
        <w:rPr>
          <w:rFonts w:hint="eastAsia"/>
          <w:sz w:val="24"/>
          <w:szCs w:val="24"/>
        </w:rPr>
        <w:t>且该情形属于以提供虚假材料谋取成交；成交人的该行为将报请政府采购监管的财政部门，按《中华人民共和国政府采购法》第七十七条第一款的规定处理，其成交无效。</w:t>
      </w:r>
      <w:bookmarkEnd w:id="71"/>
      <w:bookmarkStart w:id="72" w:name="_Hlk69857752"/>
    </w:p>
    <w:bookmarkEnd w:id="62"/>
    <w:bookmarkEnd w:id="72"/>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八、出现下列情形之一的，作无效响应处理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、响应文件中资格审查文件及技术标出现磋商报价的内容；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sz w:val="24"/>
          <w:szCs w:val="24"/>
        </w:rPr>
      </w:pPr>
      <w:r>
        <w:rPr>
          <w:rFonts w:hint="eastAsia" w:ascii="宋体" w:hAnsi="宋体" w:cs="宋体"/>
          <w:sz w:val="24"/>
          <w:szCs w:val="24"/>
        </w:rPr>
        <w:t>6、磋商响应</w:t>
      </w:r>
      <w:r>
        <w:rPr>
          <w:rFonts w:hint="eastAsia" w:ascii="宋体" w:hAnsi="宋体" w:cs="宋体"/>
          <w:sz w:val="24"/>
          <w:szCs w:val="24"/>
          <w:lang w:val="en-US" w:eastAsia="zh-CN"/>
        </w:rPr>
        <w:t>单价</w:t>
      </w:r>
      <w:r>
        <w:rPr>
          <w:rFonts w:hint="eastAsia" w:ascii="宋体" w:hAnsi="宋体" w:cs="宋体"/>
          <w:sz w:val="24"/>
          <w:szCs w:val="24"/>
        </w:rPr>
        <w:t>报价</w:t>
      </w:r>
      <w:r>
        <w:rPr>
          <w:rFonts w:hint="eastAsia" w:ascii="宋体" w:hAnsi="宋体" w:cs="宋体"/>
          <w:sz w:val="24"/>
          <w:szCs w:val="24"/>
          <w:lang w:val="en-US" w:eastAsia="zh-CN"/>
        </w:rPr>
        <w:t>和总价报价均高于或等于</w:t>
      </w:r>
      <w:r>
        <w:rPr>
          <w:rFonts w:hint="eastAsia" w:ascii="宋体" w:hAnsi="宋体" w:cs="宋体"/>
          <w:sz w:val="24"/>
          <w:szCs w:val="24"/>
        </w:rPr>
        <w:t>项目</w:t>
      </w:r>
      <w:r>
        <w:rPr>
          <w:rFonts w:hint="eastAsia" w:ascii="宋体" w:hAnsi="宋体" w:cs="宋体"/>
          <w:sz w:val="24"/>
          <w:szCs w:val="24"/>
          <w:lang w:val="en-US" w:eastAsia="zh-CN"/>
        </w:rPr>
        <w:t>最高</w:t>
      </w:r>
      <w:r>
        <w:rPr>
          <w:rFonts w:hint="eastAsia" w:ascii="宋体" w:hAnsi="宋体" w:cs="宋体"/>
          <w:sz w:val="24"/>
          <w:szCs w:val="24"/>
        </w:rPr>
        <w:t>限价的；</w:t>
      </w:r>
    </w:p>
    <w:p>
      <w:pPr>
        <w:snapToGrid w:val="0"/>
        <w:spacing w:line="360" w:lineRule="auto"/>
        <w:ind w:firstLine="480" w:firstLineChars="200"/>
        <w:rPr>
          <w:rFonts w:ascii="宋体"/>
          <w:sz w:val="24"/>
          <w:szCs w:val="24"/>
        </w:rPr>
      </w:pPr>
      <w:r>
        <w:rPr>
          <w:rFonts w:hint="eastAsia" w:ascii="宋体" w:hAnsi="宋体" w:cs="宋体"/>
          <w:sz w:val="24"/>
          <w:szCs w:val="24"/>
        </w:rPr>
        <w:t>7、被认定为低于成本报价响应磋商的；</w:t>
      </w:r>
    </w:p>
    <w:p>
      <w:pPr>
        <w:snapToGrid w:val="0"/>
        <w:spacing w:line="360" w:lineRule="auto"/>
        <w:ind w:firstLine="480" w:firstLineChars="200"/>
        <w:rPr>
          <w:rFonts w:ascii="宋体"/>
          <w:sz w:val="24"/>
          <w:szCs w:val="24"/>
        </w:rPr>
      </w:pPr>
      <w:r>
        <w:rPr>
          <w:rFonts w:hint="eastAsia" w:ascii="宋体" w:hAnsi="宋体" w:cs="宋体"/>
          <w:sz w:val="24"/>
          <w:szCs w:val="24"/>
        </w:rPr>
        <w:t>8、供应商的</w:t>
      </w:r>
      <w:r>
        <w:rPr>
          <w:rFonts w:hint="eastAsia" w:ascii="宋体" w:hAnsi="宋体" w:cs="宋体"/>
          <w:sz w:val="24"/>
          <w:szCs w:val="24"/>
          <w:lang w:val="en-US" w:eastAsia="zh-CN"/>
        </w:rPr>
        <w:t>最终磋商</w:t>
      </w:r>
      <w:r>
        <w:rPr>
          <w:rFonts w:hint="eastAsia" w:ascii="宋体" w:hAnsi="宋体" w:cs="宋体"/>
          <w:sz w:val="24"/>
          <w:szCs w:val="24"/>
        </w:rPr>
        <w:t>响应</w:t>
      </w:r>
      <w:r>
        <w:rPr>
          <w:rFonts w:hint="eastAsia" w:ascii="宋体" w:hAnsi="宋体" w:cs="宋体"/>
          <w:sz w:val="24"/>
          <w:szCs w:val="24"/>
          <w:lang w:val="en-US" w:eastAsia="zh-CN"/>
        </w:rPr>
        <w:t>单价</w:t>
      </w:r>
      <w:r>
        <w:rPr>
          <w:rFonts w:hint="eastAsia" w:ascii="宋体" w:hAnsi="宋体" w:cs="宋体"/>
          <w:sz w:val="24"/>
          <w:szCs w:val="24"/>
        </w:rPr>
        <w:t>报价</w:t>
      </w:r>
      <w:r>
        <w:rPr>
          <w:rFonts w:hint="eastAsia" w:ascii="宋体" w:hAnsi="宋体" w:cs="宋体"/>
          <w:sz w:val="24"/>
          <w:szCs w:val="24"/>
          <w:lang w:val="en-US" w:eastAsia="zh-CN"/>
        </w:rPr>
        <w:t>和总价报价</w:t>
      </w:r>
      <w:r>
        <w:rPr>
          <w:rFonts w:hint="eastAsia" w:ascii="宋体" w:hAnsi="宋体" w:cs="宋体"/>
          <w:sz w:val="24"/>
          <w:szCs w:val="24"/>
        </w:rPr>
        <w:t>高于自己前一轮的；</w:t>
      </w:r>
    </w:p>
    <w:p>
      <w:pPr>
        <w:snapToGrid w:val="0"/>
        <w:spacing w:line="360" w:lineRule="auto"/>
        <w:ind w:firstLine="480" w:firstLineChars="200"/>
        <w:rPr>
          <w:rFonts w:ascii="宋体"/>
          <w:dstrike/>
          <w:sz w:val="24"/>
          <w:szCs w:val="24"/>
        </w:rPr>
      </w:pPr>
      <w:r>
        <w:rPr>
          <w:rFonts w:hint="eastAsia" w:ascii="宋体" w:hAnsi="宋体" w:cs="宋体"/>
          <w:sz w:val="24"/>
          <w:szCs w:val="24"/>
        </w:rPr>
        <w:t>9、不符合法律、法规和磋商文件中规定的其他实质性响应要求的；</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0、磋商小组依据法律法规可以认定为无效响应的其他情况。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九、出现下列情形之一的，作废标处理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、供应商的响应报价均超出了最高限价，采购人不能支付的；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hAnsi="宋体" w:cs="宋体"/>
          <w:b/>
          <w:bCs/>
          <w:sz w:val="24"/>
          <w:szCs w:val="24"/>
        </w:rPr>
      </w:pPr>
      <w:r>
        <w:rPr>
          <w:rFonts w:hint="eastAsia" w:ascii="宋体" w:hAnsi="宋体" w:cs="宋体"/>
          <w:b/>
          <w:bCs/>
          <w:sz w:val="24"/>
          <w:szCs w:val="24"/>
        </w:rPr>
        <w:t>十、根据《财政部关于印发&lt;政府采购竞争性磋商采购方式管理暂行办法&gt;的通知》（财库〔2014〕214号）有关问题的补充通知精神，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 xml:space="preserve">    十一、成交通知</w:t>
      </w:r>
    </w:p>
    <w:p>
      <w:pPr>
        <w:spacing w:line="360" w:lineRule="auto"/>
        <w:ind w:firstLine="480" w:firstLineChars="200"/>
        <w:rPr>
          <w:rFonts w:ascii="宋体"/>
          <w:color w:val="000000"/>
          <w:kern w:val="0"/>
          <w:sz w:val="24"/>
          <w:szCs w:val="24"/>
        </w:rPr>
      </w:pPr>
      <w:r>
        <w:rPr>
          <w:rFonts w:hint="eastAsia" w:cs="宋体"/>
          <w:kern w:val="0"/>
          <w:sz w:val="24"/>
          <w:szCs w:val="24"/>
        </w:rPr>
        <w:t>成交结果在</w:t>
      </w:r>
      <w:r>
        <w:rPr>
          <w:rFonts w:hint="eastAsia" w:ascii="宋体" w:hAnsi="宋体" w:cs="Arial"/>
          <w:b/>
          <w:bCs/>
          <w:kern w:val="0"/>
          <w:sz w:val="24"/>
          <w:szCs w:val="24"/>
          <w:u w:val="single"/>
        </w:rPr>
        <w:t>“南通市卫生健康委员会官网（http://wjw.nantong.gov.cn）和南通市妇幼保健院官网（http://www.ntfybj.com）”</w:t>
      </w:r>
      <w:r>
        <w:rPr>
          <w:rFonts w:hint="eastAsia" w:ascii="宋体" w:hAnsi="宋体" w:cs="Arial"/>
          <w:bCs/>
          <w:kern w:val="0"/>
          <w:sz w:val="24"/>
          <w:szCs w:val="24"/>
        </w:rPr>
        <w:t>公示1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pStyle w:val="6"/>
        <w:keepNext w:val="0"/>
        <w:keepLines w:val="0"/>
        <w:numPr>
          <w:ilvl w:val="0"/>
          <w:numId w:val="2"/>
        </w:numPr>
        <w:snapToGrid w:val="0"/>
        <w:spacing w:after="0" w:line="360" w:lineRule="auto"/>
        <w:jc w:val="center"/>
        <w:rPr>
          <w:rFonts w:ascii="宋体" w:cs="宋体"/>
          <w:color w:val="000000"/>
          <w:w w:val="80"/>
        </w:rPr>
      </w:pPr>
      <w:r>
        <w:rPr>
          <w:rFonts w:ascii="宋体"/>
          <w:color w:val="000000"/>
          <w:w w:val="80"/>
        </w:rPr>
        <w:br w:type="page"/>
      </w:r>
      <w:bookmarkEnd w:id="60"/>
      <w:bookmarkEnd w:id="61"/>
      <w:r>
        <w:rPr>
          <w:rFonts w:hint="eastAsia" w:ascii="宋体" w:hAnsi="宋体" w:cs="宋体"/>
          <w:color w:val="000000"/>
          <w:w w:val="80"/>
        </w:rPr>
        <w:t>合同主要条款</w:t>
      </w:r>
    </w:p>
    <w:p>
      <w:pPr>
        <w:tabs>
          <w:tab w:val="left" w:pos="1050"/>
          <w:tab w:val="right" w:leader="dot" w:pos="9402"/>
        </w:tabs>
        <w:spacing w:line="520" w:lineRule="exact"/>
        <w:jc w:val="center"/>
        <w:outlineLvl w:val="0"/>
      </w:pPr>
      <w:r>
        <w:rPr>
          <w:rFonts w:hint="eastAsia" w:ascii="宋体" w:hAnsi="宋体" w:cs="宋体"/>
          <w:b/>
          <w:bCs/>
          <w:w w:val="80"/>
          <w:sz w:val="44"/>
          <w:szCs w:val="44"/>
        </w:rPr>
        <w:t>政府采购项目合同书</w:t>
      </w:r>
    </w:p>
    <w:p>
      <w:pPr>
        <w:wordWrap w:val="0"/>
        <w:spacing w:line="500" w:lineRule="exact"/>
        <w:rPr>
          <w:rFonts w:ascii="宋体" w:hAnsi="宋体" w:cs="宋体"/>
          <w:spacing w:val="46"/>
          <w:sz w:val="24"/>
          <w:szCs w:val="24"/>
        </w:rPr>
      </w:pPr>
    </w:p>
    <w:p>
      <w:pPr>
        <w:wordWrap w:val="0"/>
        <w:spacing w:line="500" w:lineRule="exact"/>
        <w:rPr>
          <w:rFonts w:ascii="宋体"/>
          <w:sz w:val="24"/>
          <w:szCs w:val="24"/>
          <w:u w:val="single"/>
        </w:rPr>
      </w:pPr>
      <w:r>
        <w:rPr>
          <w:rFonts w:hint="eastAsia" w:ascii="宋体" w:hAnsi="宋体" w:cs="宋体"/>
          <w:spacing w:val="46"/>
          <w:sz w:val="24"/>
          <w:szCs w:val="24"/>
        </w:rPr>
        <w:t>采购单</w:t>
      </w:r>
      <w:r>
        <w:rPr>
          <w:rFonts w:hint="eastAsia" w:ascii="宋体" w:hAnsi="宋体" w:cs="宋体"/>
          <w:spacing w:val="2"/>
          <w:sz w:val="24"/>
          <w:szCs w:val="24"/>
        </w:rPr>
        <w:t>位</w:t>
      </w:r>
      <w:r>
        <w:rPr>
          <w:rFonts w:hint="eastAsia" w:ascii="宋体" w:hAnsi="宋体" w:cs="宋体"/>
          <w:sz w:val="24"/>
          <w:szCs w:val="24"/>
        </w:rPr>
        <w:t>（或称甲方）：</w:t>
      </w:r>
      <w:r>
        <w:rPr>
          <w:rFonts w:hint="eastAsia" w:ascii="宋体" w:hAnsi="宋体" w:cs="宋体"/>
          <w:b/>
          <w:bCs/>
          <w:sz w:val="24"/>
          <w:szCs w:val="24"/>
          <w:u w:val="single"/>
        </w:rPr>
        <w:t>南通市妇幼保健院</w:t>
      </w:r>
    </w:p>
    <w:p>
      <w:pPr>
        <w:wordWrap w:val="0"/>
        <w:spacing w:line="500" w:lineRule="exact"/>
        <w:rPr>
          <w:rFonts w:ascii="宋体"/>
          <w:sz w:val="24"/>
          <w:szCs w:val="24"/>
          <w:u w:val="single"/>
        </w:rPr>
      </w:pPr>
      <w:r>
        <w:rPr>
          <w:rFonts w:hint="eastAsia" w:ascii="宋体" w:hAnsi="宋体" w:cs="宋体"/>
          <w:sz w:val="24"/>
          <w:szCs w:val="24"/>
        </w:rPr>
        <w:t>成交供应商（或称乙方）：</w:t>
      </w:r>
      <w:r>
        <w:rPr>
          <w:rFonts w:hint="eastAsia" w:ascii="宋体" w:hAnsi="宋体" w:cs="宋体"/>
          <w:sz w:val="24"/>
          <w:szCs w:val="24"/>
          <w:u w:val="single"/>
        </w:rPr>
        <w:t xml:space="preserve">                        </w:t>
      </w:r>
    </w:p>
    <w:p>
      <w:pPr>
        <w:spacing w:line="500" w:lineRule="exact"/>
        <w:rPr>
          <w:rFonts w:ascii="宋体"/>
          <w:sz w:val="24"/>
          <w:szCs w:val="24"/>
        </w:rPr>
      </w:pPr>
      <w:r>
        <w:rPr>
          <w:rFonts w:hint="eastAsia" w:ascii="宋体" w:hAnsi="宋体" w:cs="宋体"/>
          <w:sz w:val="24"/>
          <w:szCs w:val="24"/>
        </w:rPr>
        <w:t>签订时间：</w:t>
      </w:r>
      <w:r>
        <w:rPr>
          <w:rFonts w:hint="eastAsia" w:ascii="宋体" w:hAnsi="宋体" w:cs="宋体"/>
          <w:sz w:val="24"/>
          <w:szCs w:val="24"/>
          <w:u w:val="single"/>
        </w:rPr>
        <w:t>2022</w:t>
      </w:r>
      <w:r>
        <w:rPr>
          <w:rFonts w:hint="eastAsia" w:ascii="宋体" w:hAnsi="宋体" w:cs="宋体"/>
          <w:sz w:val="24"/>
          <w:szCs w:val="24"/>
        </w:rPr>
        <w:t>年</w:t>
      </w:r>
      <w:r>
        <w:rPr>
          <w:rFonts w:hint="eastAsia" w:ascii="宋体" w:hAnsi="宋体" w:cs="宋体"/>
          <w:bCs/>
          <w:sz w:val="24"/>
          <w:szCs w:val="24"/>
          <w:u w:val="single"/>
        </w:rPr>
        <w:t xml:space="preserve">     </w:t>
      </w:r>
      <w:r>
        <w:rPr>
          <w:rFonts w:hint="eastAsia" w:ascii="宋体" w:hAnsi="宋体" w:cs="宋体"/>
          <w:sz w:val="24"/>
          <w:szCs w:val="24"/>
        </w:rPr>
        <w:t>月</w:t>
      </w:r>
      <w:r>
        <w:rPr>
          <w:rFonts w:hint="eastAsia" w:ascii="宋体" w:hAnsi="宋体" w:cs="宋体"/>
          <w:bCs/>
          <w:sz w:val="24"/>
          <w:szCs w:val="24"/>
          <w:u w:val="single"/>
        </w:rPr>
        <w:t xml:space="preserve">     </w:t>
      </w:r>
      <w:r>
        <w:rPr>
          <w:rFonts w:hint="eastAsia" w:ascii="宋体" w:hAnsi="宋体" w:cs="宋体"/>
          <w:sz w:val="24"/>
          <w:szCs w:val="24"/>
        </w:rPr>
        <w:t>日</w:t>
      </w:r>
    </w:p>
    <w:p>
      <w:pPr>
        <w:wordWrap w:val="0"/>
        <w:spacing w:line="500" w:lineRule="exact"/>
        <w:rPr>
          <w:rFonts w:ascii="宋体"/>
          <w:sz w:val="24"/>
          <w:szCs w:val="24"/>
          <w:u w:val="single"/>
        </w:rPr>
      </w:pPr>
      <w:r>
        <w:rPr>
          <w:rFonts w:hint="eastAsia" w:ascii="宋体" w:hAnsi="宋体" w:cs="宋体"/>
          <w:sz w:val="24"/>
          <w:szCs w:val="24"/>
        </w:rPr>
        <w:t>签订地点：</w:t>
      </w:r>
      <w:r>
        <w:rPr>
          <w:rFonts w:hint="eastAsia" w:ascii="宋体" w:hAnsi="宋体" w:cs="宋体"/>
          <w:bCs/>
          <w:sz w:val="24"/>
          <w:szCs w:val="24"/>
          <w:u w:val="single"/>
        </w:rPr>
        <w:t xml:space="preserve">                 </w:t>
      </w:r>
    </w:p>
    <w:p>
      <w:pPr>
        <w:tabs>
          <w:tab w:val="left" w:pos="6300"/>
        </w:tabs>
        <w:snapToGrid w:val="0"/>
        <w:spacing w:line="300" w:lineRule="auto"/>
        <w:rPr>
          <w:rFonts w:ascii="宋体" w:hAnsi="宋体" w:cs="宋体"/>
          <w:sz w:val="24"/>
          <w:szCs w:val="24"/>
        </w:rPr>
      </w:pPr>
    </w:p>
    <w:p>
      <w:pPr>
        <w:widowControl/>
        <w:shd w:val="clear" w:color="auto" w:fill="FFFFFF"/>
        <w:snapToGrid w:val="0"/>
        <w:spacing w:line="360" w:lineRule="auto"/>
        <w:ind w:firstLine="480" w:firstLineChars="200"/>
        <w:jc w:val="left"/>
        <w:rPr>
          <w:rFonts w:ascii="宋体" w:hAnsi="宋体" w:cs="Arial"/>
          <w:kern w:val="0"/>
          <w:sz w:val="24"/>
          <w:szCs w:val="24"/>
        </w:rPr>
      </w:pPr>
      <w:r>
        <w:rPr>
          <w:rFonts w:hint="eastAsia" w:ascii="宋体" w:hAnsi="宋体" w:cs="宋体"/>
          <w:sz w:val="24"/>
          <w:szCs w:val="24"/>
        </w:rPr>
        <w:t>根据《中华人民共和国政府采购法》、《中华人民共和国民法典》及</w:t>
      </w:r>
      <w:r>
        <w:rPr>
          <w:rFonts w:hint="eastAsia" w:ascii="宋体" w:hAnsi="宋体" w:cs="Arial"/>
          <w:kern w:val="0"/>
          <w:sz w:val="24"/>
          <w:szCs w:val="24"/>
          <w:u w:val="single"/>
        </w:rPr>
        <w:t>南通市妇幼保健院出生医学证明进馆档案整理服务项目</w:t>
      </w:r>
      <w:r>
        <w:rPr>
          <w:rFonts w:hint="eastAsia" w:ascii="宋体" w:hAnsi="宋体" w:cs="宋体"/>
          <w:sz w:val="24"/>
          <w:szCs w:val="24"/>
        </w:rPr>
        <w:t>（项目编号：</w:t>
      </w:r>
      <w:r>
        <w:rPr>
          <w:rFonts w:ascii="宋体" w:hAnsi="宋体" w:cs="宋体"/>
          <w:sz w:val="24"/>
          <w:szCs w:val="24"/>
          <w:u w:val="single"/>
        </w:rPr>
        <w:t>WLDL202203020</w:t>
      </w:r>
      <w:r>
        <w:rPr>
          <w:rFonts w:hint="eastAsia" w:ascii="宋体" w:hAnsi="宋体" w:cs="宋体"/>
          <w:sz w:val="24"/>
          <w:szCs w:val="24"/>
        </w:rPr>
        <w:t>）的磋商文件及磋商响应文件，经甲、乙双方协商一致，签订本合同。</w:t>
      </w:r>
    </w:p>
    <w:p>
      <w:pPr>
        <w:snapToGrid w:val="0"/>
        <w:spacing w:line="360" w:lineRule="auto"/>
        <w:ind w:firstLine="573"/>
        <w:rPr>
          <w:rFonts w:ascii="宋体" w:hAnsi="宋体" w:cs="宋体"/>
          <w:b/>
          <w:bCs/>
          <w:sz w:val="24"/>
          <w:szCs w:val="24"/>
        </w:rPr>
      </w:pPr>
      <w:r>
        <w:rPr>
          <w:rFonts w:hint="eastAsia" w:ascii="宋体" w:hAnsi="宋体" w:cs="宋体"/>
          <w:b/>
          <w:bCs/>
          <w:sz w:val="24"/>
          <w:szCs w:val="24"/>
        </w:rPr>
        <w:t>一、合同文件组成及解释顺序</w:t>
      </w:r>
    </w:p>
    <w:p>
      <w:pPr>
        <w:snapToGrid w:val="0"/>
        <w:spacing w:line="360" w:lineRule="auto"/>
        <w:ind w:firstLine="573"/>
        <w:rPr>
          <w:rFonts w:ascii="宋体" w:hAnsi="宋体" w:cs="宋体"/>
          <w:bCs/>
          <w:sz w:val="24"/>
          <w:szCs w:val="24"/>
        </w:rPr>
      </w:pPr>
      <w:r>
        <w:rPr>
          <w:rFonts w:hint="eastAsia" w:ascii="宋体" w:hAnsi="宋体" w:cs="宋体"/>
          <w:bCs/>
          <w:sz w:val="24"/>
          <w:szCs w:val="24"/>
        </w:rPr>
        <w:t>1.本合同书；2.成交通知书；3.磋商响应文件及其附件；4.采购磋商文件（含标前答疑及补充通知）；5.相关标准、规范及有关技术文件。</w:t>
      </w:r>
    </w:p>
    <w:p>
      <w:pPr>
        <w:snapToGrid w:val="0"/>
        <w:spacing w:line="360" w:lineRule="auto"/>
        <w:ind w:firstLine="482" w:firstLineChars="200"/>
        <w:rPr>
          <w:rFonts w:ascii="宋体" w:hAnsi="宋体"/>
          <w:b/>
          <w:sz w:val="24"/>
          <w:szCs w:val="24"/>
        </w:rPr>
      </w:pPr>
      <w:r>
        <w:rPr>
          <w:rFonts w:hint="eastAsia" w:ascii="宋体" w:hAnsi="宋体"/>
          <w:b/>
          <w:sz w:val="24"/>
          <w:szCs w:val="24"/>
        </w:rPr>
        <w:t>二、合同金额及付款方式：</w:t>
      </w:r>
    </w:p>
    <w:p>
      <w:pPr>
        <w:snapToGrid w:val="0"/>
        <w:spacing w:line="360" w:lineRule="auto"/>
        <w:ind w:firstLine="480" w:firstLineChars="200"/>
        <w:rPr>
          <w:rFonts w:ascii="宋体" w:hAnsi="宋体" w:cs="宋体"/>
          <w:b/>
          <w:bCs/>
          <w:sz w:val="24"/>
          <w:szCs w:val="24"/>
        </w:rPr>
      </w:pPr>
      <w:r>
        <w:rPr>
          <w:rFonts w:hint="eastAsia" w:ascii="宋体" w:hAnsi="宋体"/>
          <w:sz w:val="24"/>
          <w:szCs w:val="24"/>
        </w:rPr>
        <w:t>1、本项目合同</w:t>
      </w:r>
      <w:r>
        <w:rPr>
          <w:rFonts w:hint="eastAsia" w:ascii="宋体" w:hAnsi="宋体"/>
          <w:sz w:val="24"/>
          <w:szCs w:val="24"/>
          <w:lang w:val="en-US" w:eastAsia="zh-CN"/>
        </w:rPr>
        <w:t>单价为</w:t>
      </w:r>
      <w:r>
        <w:rPr>
          <w:rFonts w:hint="eastAsia" w:ascii="宋体" w:hAnsi="宋体"/>
          <w:sz w:val="24"/>
          <w:szCs w:val="24"/>
        </w:rPr>
        <w:t>人民币</w:t>
      </w:r>
      <w:r>
        <w:rPr>
          <w:rFonts w:hint="eastAsia" w:ascii="宋体" w:hAnsi="宋体"/>
          <w:sz w:val="24"/>
          <w:szCs w:val="24"/>
          <w:lang w:val="en-US" w:eastAsia="zh-CN"/>
        </w:rPr>
        <w:t>每份</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元</w:t>
      </w:r>
      <w:r>
        <w:rPr>
          <w:rFonts w:hint="eastAsia" w:ascii="宋体" w:hAnsi="宋体"/>
          <w:sz w:val="24"/>
          <w:szCs w:val="24"/>
          <w:lang w:val="en-US" w:eastAsia="zh-CN"/>
        </w:rPr>
        <w:t>/份</w:t>
      </w:r>
      <w:r>
        <w:rPr>
          <w:rFonts w:hint="eastAsia" w:ascii="宋体" w:hAnsi="宋体"/>
          <w:sz w:val="24"/>
          <w:szCs w:val="24"/>
        </w:rPr>
        <w:t>）</w:t>
      </w:r>
      <w:r>
        <w:rPr>
          <w:rFonts w:hint="eastAsia" w:ascii="宋体" w:hAnsi="宋体"/>
          <w:sz w:val="24"/>
          <w:szCs w:val="24"/>
          <w:lang w:eastAsia="zh-CN"/>
        </w:rPr>
        <w:t>，</w:t>
      </w:r>
      <w:r>
        <w:rPr>
          <w:rFonts w:hint="eastAsia" w:ascii="宋体" w:hAnsi="宋体"/>
          <w:sz w:val="24"/>
          <w:szCs w:val="24"/>
          <w:lang w:val="en-US" w:eastAsia="zh-CN"/>
        </w:rPr>
        <w:t>暂估总价人民币</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元）。合同价</w:t>
      </w:r>
      <w:r>
        <w:rPr>
          <w:rFonts w:hint="eastAsia" w:ascii="宋体" w:hAnsi="宋体" w:cs="宋体"/>
          <w:sz w:val="24"/>
          <w:szCs w:val="24"/>
        </w:rPr>
        <w:t>应包含但不限于下列费用：</w:t>
      </w:r>
      <w:r>
        <w:rPr>
          <w:rFonts w:hint="eastAsia" w:ascii="宋体" w:hAnsi="宋体" w:cs="宋体"/>
          <w:b/>
          <w:bCs/>
          <w:sz w:val="24"/>
          <w:szCs w:val="24"/>
        </w:rPr>
        <w:t>人工费、档案整理费、装订费、设备费、软件费、办公费、运输费（含装卸力资）、管理费、税金、利润等，还应包含为完成所有工作而采取的各项措施费用，以及作为一个有经验的单位所应考虑到的各种因素、风险而包含的所有费用，即项目履行到项目执行结束的过程中所发生的一切费用及磋商文件要求的所有费用。</w:t>
      </w:r>
    </w:p>
    <w:p>
      <w:pPr>
        <w:pStyle w:val="20"/>
        <w:snapToGrid w:val="0"/>
        <w:spacing w:line="360" w:lineRule="auto"/>
        <w:ind w:firstLine="480" w:firstLineChars="200"/>
        <w:rPr>
          <w:rFonts w:ascii="宋体" w:hAnsi="宋体" w:cs="宋体"/>
          <w:sz w:val="24"/>
          <w:szCs w:val="24"/>
        </w:rPr>
      </w:pPr>
      <w:r>
        <w:rPr>
          <w:rFonts w:hint="eastAsia" w:ascii="宋体" w:hAnsi="宋体" w:cs="宋体"/>
          <w:sz w:val="24"/>
          <w:szCs w:val="24"/>
        </w:rPr>
        <w:t>2、结算方式：</w:t>
      </w:r>
    </w:p>
    <w:p>
      <w:pPr>
        <w:snapToGrid w:val="0"/>
        <w:spacing w:line="360" w:lineRule="auto"/>
        <w:ind w:firstLine="470" w:firstLineChars="196"/>
        <w:outlineLvl w:val="1"/>
        <w:rPr>
          <w:rFonts w:hint="eastAsia" w:ascii="宋体" w:hAnsi="宋体" w:eastAsia="宋体" w:cs="宋体"/>
          <w:sz w:val="24"/>
          <w:szCs w:val="24"/>
        </w:rPr>
      </w:pPr>
      <w:r>
        <w:rPr>
          <w:rFonts w:hint="eastAsia" w:ascii="宋体" w:hAnsi="宋体" w:cs="宋体"/>
          <w:sz w:val="24"/>
          <w:szCs w:val="24"/>
        </w:rPr>
        <w:t>乙方履约保证金缴纳且合同签订生效后，甲方支付合同金额的30%；在项目按时完成并</w:t>
      </w:r>
      <w:r>
        <w:rPr>
          <w:rFonts w:hint="eastAsia" w:ascii="宋体" w:hAnsi="宋体" w:cs="宋体"/>
          <w:sz w:val="24"/>
          <w:szCs w:val="24"/>
          <w:lang w:val="en-US" w:eastAsia="zh-CN"/>
        </w:rPr>
        <w:t>通过甲方和相关单位验收合格后</w:t>
      </w:r>
      <w:r>
        <w:rPr>
          <w:rFonts w:hint="eastAsia" w:ascii="宋体" w:hAnsi="宋体" w:cs="宋体"/>
          <w:sz w:val="24"/>
          <w:szCs w:val="24"/>
        </w:rPr>
        <w:t>，</w:t>
      </w:r>
      <w:r>
        <w:rPr>
          <w:rFonts w:hint="eastAsia" w:ascii="宋体" w:hAnsi="宋体" w:cs="宋体"/>
          <w:sz w:val="24"/>
          <w:szCs w:val="24"/>
          <w:lang w:val="en-US" w:eastAsia="zh-CN"/>
        </w:rPr>
        <w:t>甲方支付合同余款</w:t>
      </w:r>
      <w:r>
        <w:rPr>
          <w:rFonts w:hint="eastAsia" w:ascii="宋体" w:hAnsi="宋体" w:cs="宋体"/>
          <w:sz w:val="24"/>
          <w:szCs w:val="24"/>
        </w:rPr>
        <w:t>，并退还履约保证金（无息）</w:t>
      </w:r>
      <w:r>
        <w:rPr>
          <w:rFonts w:hint="eastAsia" w:ascii="宋体" w:hAnsi="宋体" w:cs="宋体"/>
          <w:color w:val="000000"/>
          <w:sz w:val="24"/>
          <w:szCs w:val="24"/>
        </w:rPr>
        <w:t>。</w:t>
      </w:r>
      <w:r>
        <w:rPr>
          <w:rFonts w:hint="eastAsia" w:ascii="宋体" w:hAnsi="宋体" w:cs="宋体"/>
          <w:sz w:val="24"/>
          <w:szCs w:val="24"/>
          <w:lang w:val="en-US" w:eastAsia="zh-CN"/>
        </w:rPr>
        <w:t>乙方</w:t>
      </w:r>
      <w:r>
        <w:rPr>
          <w:rFonts w:hint="eastAsia" w:ascii="宋体" w:hAnsi="宋体" w:eastAsia="宋体" w:cs="宋体"/>
          <w:sz w:val="24"/>
          <w:szCs w:val="24"/>
        </w:rPr>
        <w:t>须提供相应金额且符合</w:t>
      </w:r>
      <w:r>
        <w:rPr>
          <w:rFonts w:hint="eastAsia" w:ascii="宋体" w:hAnsi="宋体" w:cs="宋体"/>
          <w:sz w:val="24"/>
          <w:szCs w:val="24"/>
          <w:lang w:val="en-US" w:eastAsia="zh-CN"/>
        </w:rPr>
        <w:t>甲方</w:t>
      </w:r>
      <w:r>
        <w:rPr>
          <w:rFonts w:hint="eastAsia" w:ascii="宋体" w:hAnsi="宋体" w:eastAsia="宋体" w:cs="宋体"/>
          <w:sz w:val="24"/>
          <w:szCs w:val="24"/>
        </w:rPr>
        <w:t>财务制度规定的增值税发票，</w:t>
      </w:r>
      <w:r>
        <w:rPr>
          <w:rFonts w:hint="eastAsia" w:ascii="宋体" w:hAnsi="宋体" w:cs="宋体"/>
          <w:sz w:val="24"/>
          <w:szCs w:val="24"/>
          <w:lang w:val="en-US" w:eastAsia="zh-CN"/>
        </w:rPr>
        <w:t>甲方</w:t>
      </w:r>
      <w:r>
        <w:rPr>
          <w:rFonts w:hint="eastAsia" w:ascii="宋体" w:hAnsi="宋体" w:eastAsia="宋体" w:cs="宋体"/>
          <w:sz w:val="24"/>
          <w:szCs w:val="24"/>
        </w:rPr>
        <w:t>按程序审批后支付款项。</w:t>
      </w:r>
    </w:p>
    <w:p>
      <w:pPr>
        <w:pStyle w:val="20"/>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pPr>
      <w:r>
        <w:rPr>
          <w:rFonts w:hint="eastAsia" w:ascii="Times New Roman" w:hAnsi="Times New Roman" w:eastAsia="宋体" w:cs="宋体"/>
          <w:kern w:val="2"/>
          <w:sz w:val="24"/>
          <w:szCs w:val="24"/>
        </w:rPr>
        <w:t>如因</w:t>
      </w:r>
      <w:r>
        <w:rPr>
          <w:rFonts w:hint="eastAsia" w:cs="宋体"/>
          <w:kern w:val="2"/>
          <w:sz w:val="24"/>
          <w:szCs w:val="24"/>
          <w:lang w:val="en-US" w:eastAsia="zh-CN"/>
        </w:rPr>
        <w:t>甲方</w:t>
      </w:r>
      <w:r>
        <w:rPr>
          <w:rFonts w:hint="eastAsia" w:ascii="Times New Roman" w:hAnsi="Times New Roman" w:eastAsia="宋体" w:cs="宋体"/>
          <w:kern w:val="2"/>
          <w:sz w:val="24"/>
          <w:szCs w:val="24"/>
        </w:rPr>
        <w:t>实际需求，数量发生变化，</w:t>
      </w:r>
      <w:r>
        <w:rPr>
          <w:rFonts w:hint="eastAsia" w:cs="宋体"/>
          <w:kern w:val="2"/>
          <w:sz w:val="24"/>
          <w:szCs w:val="24"/>
          <w:lang w:val="en-US" w:eastAsia="zh-CN"/>
        </w:rPr>
        <w:t>乙方</w:t>
      </w:r>
      <w:r>
        <w:rPr>
          <w:rFonts w:hint="eastAsia" w:ascii="Times New Roman" w:hAnsi="Times New Roman" w:eastAsia="宋体" w:cs="宋体"/>
          <w:kern w:val="2"/>
          <w:sz w:val="24"/>
          <w:szCs w:val="24"/>
        </w:rPr>
        <w:t>须无条件满足</w:t>
      </w:r>
      <w:r>
        <w:rPr>
          <w:rFonts w:hint="eastAsia" w:cs="宋体"/>
          <w:kern w:val="2"/>
          <w:sz w:val="24"/>
          <w:szCs w:val="24"/>
          <w:lang w:val="en-US" w:eastAsia="zh-CN"/>
        </w:rPr>
        <w:t>甲方</w:t>
      </w:r>
      <w:r>
        <w:rPr>
          <w:rFonts w:hint="eastAsia" w:ascii="Times New Roman" w:hAnsi="Times New Roman" w:eastAsia="宋体" w:cs="宋体"/>
          <w:kern w:val="2"/>
          <w:sz w:val="24"/>
          <w:szCs w:val="24"/>
        </w:rPr>
        <w:t>需求，确保</w:t>
      </w:r>
      <w:r>
        <w:rPr>
          <w:rFonts w:hint="eastAsia" w:cs="宋体"/>
          <w:kern w:val="2"/>
          <w:sz w:val="24"/>
          <w:szCs w:val="24"/>
          <w:lang w:val="en-US" w:eastAsia="zh-CN"/>
        </w:rPr>
        <w:t>服务</w:t>
      </w:r>
      <w:r>
        <w:rPr>
          <w:rFonts w:hint="eastAsia" w:ascii="Times New Roman" w:hAnsi="Times New Roman" w:eastAsia="宋体" w:cs="宋体"/>
          <w:kern w:val="2"/>
          <w:sz w:val="24"/>
          <w:szCs w:val="24"/>
        </w:rPr>
        <w:t>质量；结算时按</w:t>
      </w:r>
      <w:r>
        <w:rPr>
          <w:rFonts w:hint="eastAsia" w:cs="宋体"/>
          <w:kern w:val="2"/>
          <w:sz w:val="24"/>
          <w:szCs w:val="24"/>
          <w:lang w:val="en-US" w:eastAsia="zh-CN"/>
        </w:rPr>
        <w:t>甲方</w:t>
      </w:r>
      <w:r>
        <w:rPr>
          <w:rFonts w:hint="eastAsia" w:ascii="Times New Roman" w:hAnsi="Times New Roman" w:eastAsia="宋体" w:cs="宋体"/>
          <w:kern w:val="2"/>
          <w:sz w:val="24"/>
          <w:szCs w:val="24"/>
        </w:rPr>
        <w:t>验收合格的实际数量进行结算，</w:t>
      </w:r>
      <w:r>
        <w:rPr>
          <w:rFonts w:hint="eastAsia" w:ascii="Times New Roman" w:hAnsi="Times New Roman" w:eastAsia="宋体" w:cs="宋体"/>
          <w:kern w:val="2"/>
          <w:sz w:val="24"/>
          <w:szCs w:val="24"/>
          <w:lang w:val="en-US" w:eastAsia="zh-CN"/>
        </w:rPr>
        <w:t>合同</w:t>
      </w:r>
      <w:r>
        <w:rPr>
          <w:rFonts w:hint="eastAsia" w:ascii="Times New Roman" w:hAnsi="Times New Roman" w:eastAsia="宋体" w:cs="宋体"/>
          <w:kern w:val="2"/>
          <w:sz w:val="24"/>
          <w:szCs w:val="24"/>
        </w:rPr>
        <w:t>单价不变。</w:t>
      </w:r>
    </w:p>
    <w:p>
      <w:pPr>
        <w:pStyle w:val="2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
          <w:bCs/>
          <w:sz w:val="24"/>
          <w:szCs w:val="24"/>
        </w:rPr>
      </w:pPr>
      <w:r>
        <w:rPr>
          <w:rFonts w:hint="eastAsia" w:ascii="宋体" w:hAnsi="宋体" w:cs="宋体"/>
          <w:sz w:val="24"/>
          <w:szCs w:val="24"/>
        </w:rPr>
        <w:t>3、乙方交纳人民币</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元</w:t>
      </w:r>
      <w:r>
        <w:rPr>
          <w:rFonts w:hint="eastAsia" w:ascii="宋体" w:hAnsi="宋体" w:cs="宋体"/>
          <w:sz w:val="24"/>
          <w:szCs w:val="24"/>
        </w:rPr>
        <w:t>）作为本合同的履约保证金，在合同签订前缴纳。履约保证金作为违约金的一部分及用于补偿甲方因乙方不能履行合同义务或瑕疵履行而受到的损失。履约保证金在合同期满后或终止后，由甲方扣除乙方应承担的违约金、罚款、欠费等，一次性无息（如有剩余）返还乙方。</w:t>
      </w:r>
    </w:p>
    <w:p>
      <w:pPr>
        <w:pStyle w:val="20"/>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pPr>
      <w:r>
        <w:rPr>
          <w:rFonts w:hint="eastAsia" w:ascii="宋体" w:hAnsi="宋体" w:cs="宋体"/>
          <w:b/>
          <w:bCs/>
          <w:sz w:val="24"/>
          <w:szCs w:val="24"/>
        </w:rPr>
        <w:t>三</w:t>
      </w:r>
      <w:r>
        <w:rPr>
          <w:rFonts w:hint="eastAsia" w:ascii="宋体" w:hAnsi="宋体" w:cs="宋体"/>
          <w:b/>
          <w:sz w:val="24"/>
          <w:szCs w:val="24"/>
        </w:rPr>
        <w:t>、工作要求、工作内容及细则如下：</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sz w:val="24"/>
          <w:szCs w:val="24"/>
          <w:lang w:val="zh-CN"/>
        </w:rPr>
      </w:pPr>
      <w:r>
        <w:rPr>
          <w:rFonts w:hint="eastAsia" w:ascii="宋体" w:hAnsi="宋体"/>
          <w:sz w:val="24"/>
          <w:szCs w:val="24"/>
          <w:lang w:val="zh-CN"/>
        </w:rPr>
        <w:t>1、整理档案数量及时间：</w:t>
      </w:r>
    </w:p>
    <w:p>
      <w:pPr>
        <w:spacing w:line="360" w:lineRule="auto"/>
        <w:ind w:firstLine="480" w:firstLineChars="200"/>
        <w:rPr>
          <w:rFonts w:ascii="宋体" w:hAnsi="宋体"/>
          <w:sz w:val="24"/>
          <w:szCs w:val="24"/>
          <w:lang w:val="zh-CN"/>
        </w:rPr>
      </w:pPr>
      <w:r>
        <w:rPr>
          <w:rFonts w:hint="eastAsia" w:ascii="宋体" w:hAnsi="宋体"/>
          <w:sz w:val="24"/>
          <w:szCs w:val="24"/>
          <w:lang w:val="zh-CN"/>
        </w:rPr>
        <w:t>1999-2002年档案共1.55万份在202</w:t>
      </w:r>
      <w:r>
        <w:rPr>
          <w:rFonts w:ascii="宋体" w:hAnsi="宋体"/>
          <w:sz w:val="24"/>
          <w:szCs w:val="24"/>
          <w:lang w:val="zh-CN"/>
        </w:rPr>
        <w:t>2</w:t>
      </w:r>
      <w:r>
        <w:rPr>
          <w:rFonts w:hint="eastAsia" w:ascii="宋体" w:hAnsi="宋体"/>
          <w:sz w:val="24"/>
          <w:szCs w:val="24"/>
          <w:lang w:val="zh-CN"/>
        </w:rPr>
        <w:t>年12月30日前完成验收进馆。</w:t>
      </w:r>
    </w:p>
    <w:p>
      <w:pPr>
        <w:spacing w:line="360" w:lineRule="auto"/>
        <w:ind w:firstLine="480" w:firstLineChars="200"/>
        <w:rPr>
          <w:rFonts w:ascii="宋体" w:hAnsi="宋体"/>
          <w:sz w:val="24"/>
          <w:szCs w:val="24"/>
          <w:lang w:val="zh-CN"/>
        </w:rPr>
      </w:pPr>
      <w:r>
        <w:rPr>
          <w:rFonts w:hint="eastAsia" w:ascii="宋体" w:hAnsi="宋体"/>
          <w:sz w:val="24"/>
          <w:szCs w:val="24"/>
          <w:lang w:val="zh-CN"/>
        </w:rPr>
        <w:t>20</w:t>
      </w:r>
      <w:r>
        <w:rPr>
          <w:rFonts w:ascii="宋体" w:hAnsi="宋体"/>
          <w:sz w:val="24"/>
          <w:szCs w:val="24"/>
          <w:lang w:val="zh-CN"/>
        </w:rPr>
        <w:t>15</w:t>
      </w:r>
      <w:r>
        <w:rPr>
          <w:rFonts w:hint="eastAsia" w:ascii="宋体" w:hAnsi="宋体"/>
          <w:sz w:val="24"/>
          <w:szCs w:val="24"/>
          <w:lang w:val="zh-CN"/>
        </w:rPr>
        <w:t>-2018年档案约4万份在202</w:t>
      </w:r>
      <w:r>
        <w:rPr>
          <w:rFonts w:ascii="宋体" w:hAnsi="宋体"/>
          <w:sz w:val="24"/>
          <w:szCs w:val="24"/>
          <w:lang w:val="zh-CN"/>
        </w:rPr>
        <w:t>2</w:t>
      </w:r>
      <w:r>
        <w:rPr>
          <w:rFonts w:hint="eastAsia" w:ascii="宋体" w:hAnsi="宋体"/>
          <w:sz w:val="24"/>
          <w:szCs w:val="24"/>
          <w:lang w:val="zh-CN"/>
        </w:rPr>
        <w:t>年12月30日前完成验收。</w:t>
      </w:r>
    </w:p>
    <w:p>
      <w:pPr>
        <w:spacing w:line="360" w:lineRule="auto"/>
        <w:ind w:firstLine="480" w:firstLineChars="200"/>
        <w:rPr>
          <w:rFonts w:ascii="宋体" w:hAnsi="宋体"/>
          <w:sz w:val="24"/>
          <w:szCs w:val="24"/>
          <w:lang w:val="zh-CN"/>
        </w:rPr>
      </w:pPr>
      <w:r>
        <w:rPr>
          <w:rFonts w:hint="eastAsia" w:ascii="宋体" w:hAnsi="宋体"/>
          <w:sz w:val="24"/>
          <w:szCs w:val="24"/>
          <w:lang w:val="zh-CN"/>
        </w:rPr>
        <w:t>2、进馆资料主要内容：</w:t>
      </w:r>
    </w:p>
    <w:p>
      <w:pPr>
        <w:spacing w:line="360" w:lineRule="auto"/>
        <w:ind w:firstLine="480" w:firstLineChars="200"/>
        <w:rPr>
          <w:rFonts w:ascii="宋体" w:hAnsi="宋体"/>
          <w:sz w:val="24"/>
          <w:szCs w:val="24"/>
          <w:lang w:val="zh-CN"/>
        </w:rPr>
      </w:pPr>
      <w:r>
        <w:rPr>
          <w:rFonts w:hint="eastAsia" w:ascii="宋体" w:hAnsi="宋体"/>
          <w:sz w:val="24"/>
          <w:szCs w:val="24"/>
          <w:lang w:val="zh-CN"/>
        </w:rPr>
        <w:t>1999-2002年档案（1）《出生医学证明登记本》</w:t>
      </w:r>
    </w:p>
    <w:p>
      <w:pPr>
        <w:spacing w:line="360" w:lineRule="auto"/>
        <w:ind w:left="2910" w:leftChars="1100" w:hanging="600" w:hangingChars="250"/>
        <w:rPr>
          <w:rFonts w:ascii="宋体" w:hAnsi="宋体"/>
          <w:sz w:val="24"/>
          <w:szCs w:val="24"/>
          <w:lang w:val="zh-CN"/>
        </w:rPr>
      </w:pPr>
      <w:r>
        <w:rPr>
          <w:rFonts w:hint="eastAsia" w:ascii="宋体" w:hAnsi="宋体"/>
          <w:sz w:val="24"/>
          <w:szCs w:val="24"/>
          <w:lang w:val="zh-CN"/>
        </w:rPr>
        <w:t>（2）《分娩登记本》</w:t>
      </w:r>
    </w:p>
    <w:p>
      <w:pPr>
        <w:spacing w:line="360" w:lineRule="auto"/>
        <w:ind w:firstLine="480" w:firstLineChars="200"/>
        <w:rPr>
          <w:rFonts w:ascii="宋体" w:hAnsi="宋体"/>
          <w:sz w:val="24"/>
          <w:szCs w:val="24"/>
          <w:lang w:val="zh-CN"/>
        </w:rPr>
      </w:pPr>
      <w:r>
        <w:rPr>
          <w:rFonts w:ascii="宋体" w:hAnsi="宋体"/>
          <w:sz w:val="24"/>
          <w:szCs w:val="24"/>
          <w:lang w:val="zh-CN"/>
        </w:rPr>
        <w:t>2015-20</w:t>
      </w:r>
      <w:r>
        <w:rPr>
          <w:rFonts w:hint="eastAsia" w:ascii="宋体" w:hAnsi="宋体"/>
          <w:sz w:val="24"/>
          <w:szCs w:val="24"/>
          <w:lang w:val="zh-CN"/>
        </w:rPr>
        <w:t>18年档案（1）《出生医学证明》存根</w:t>
      </w:r>
    </w:p>
    <w:p>
      <w:pPr>
        <w:spacing w:line="360" w:lineRule="auto"/>
        <w:ind w:left="2910" w:leftChars="1100" w:hanging="600" w:hangingChars="250"/>
        <w:rPr>
          <w:rFonts w:ascii="宋体" w:hAnsi="宋体"/>
          <w:sz w:val="24"/>
          <w:szCs w:val="24"/>
          <w:lang w:val="zh-CN"/>
        </w:rPr>
      </w:pPr>
      <w:r>
        <w:rPr>
          <w:rFonts w:hint="eastAsia" w:ascii="宋体" w:hAnsi="宋体"/>
          <w:sz w:val="24"/>
          <w:szCs w:val="24"/>
          <w:lang w:val="zh-CN"/>
        </w:rPr>
        <w:t>（2）《出生医学证明》申领表（首次签发登记表、补发申请表和换发申请表）</w:t>
      </w:r>
    </w:p>
    <w:p>
      <w:pPr>
        <w:spacing w:line="360" w:lineRule="auto"/>
        <w:ind w:left="2910" w:leftChars="1100" w:hanging="600" w:hangingChars="250"/>
        <w:rPr>
          <w:rFonts w:ascii="宋体" w:hAnsi="宋体"/>
          <w:sz w:val="24"/>
          <w:szCs w:val="24"/>
          <w:lang w:val="zh-CN"/>
        </w:rPr>
      </w:pPr>
      <w:r>
        <w:rPr>
          <w:rFonts w:hint="eastAsia" w:ascii="宋体" w:hAnsi="宋体"/>
          <w:sz w:val="24"/>
          <w:szCs w:val="24"/>
          <w:lang w:val="zh-CN"/>
        </w:rPr>
        <w:t>（3）新生儿父母有效身份证复印件</w:t>
      </w:r>
    </w:p>
    <w:p>
      <w:pPr>
        <w:spacing w:line="360" w:lineRule="auto"/>
        <w:ind w:left="2910" w:leftChars="1100" w:hanging="600" w:hangingChars="250"/>
        <w:rPr>
          <w:rFonts w:ascii="宋体" w:hAnsi="宋体"/>
          <w:sz w:val="24"/>
          <w:szCs w:val="24"/>
          <w:lang w:val="zh-CN"/>
        </w:rPr>
      </w:pPr>
      <w:r>
        <w:rPr>
          <w:rFonts w:hint="eastAsia" w:ascii="宋体" w:hAnsi="宋体"/>
          <w:sz w:val="24"/>
          <w:szCs w:val="24"/>
          <w:lang w:val="zh-CN"/>
        </w:rPr>
        <w:t>（4）亲子鉴定证明、公安机关出具的证明材料、孕产妇住院分娩相关病历、其他应当保存的相关材料</w:t>
      </w:r>
    </w:p>
    <w:p>
      <w:pPr>
        <w:widowControl/>
        <w:adjustRightInd w:val="0"/>
        <w:snapToGrid w:val="0"/>
        <w:spacing w:line="360" w:lineRule="auto"/>
        <w:ind w:firstLine="482" w:firstLineChars="200"/>
        <w:rPr>
          <w:rFonts w:cs="宋体" w:asciiTheme="minorEastAsia" w:hAnsiTheme="minorEastAsia" w:eastAsiaTheme="minorEastAsia"/>
          <w:b/>
          <w:kern w:val="0"/>
          <w:sz w:val="24"/>
          <w:szCs w:val="24"/>
          <w:lang w:bidi="ar"/>
        </w:rPr>
      </w:pPr>
      <w:r>
        <w:rPr>
          <w:rFonts w:hint="eastAsia" w:cs="宋体" w:asciiTheme="minorEastAsia" w:hAnsiTheme="minorEastAsia" w:eastAsiaTheme="minorEastAsia"/>
          <w:b/>
          <w:kern w:val="0"/>
          <w:sz w:val="24"/>
          <w:szCs w:val="24"/>
          <w:lang w:bidi="ar"/>
        </w:rPr>
        <w:t>（一）遵守标准规范的要求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（1）《中华人民共和国档案法》；</w:t>
      </w:r>
    </w:p>
    <w:p>
      <w:pPr>
        <w:adjustRightInd w:val="0"/>
        <w:snapToGrid w:val="0"/>
        <w:spacing w:line="360" w:lineRule="auto"/>
        <w:ind w:firstLine="480" w:firstLineChars="200"/>
        <w:rPr>
          <w:rFonts w:ascii="宋体" w:hAnsi="宋体" w:cs="宋体"/>
          <w:color w:val="000000"/>
          <w:kern w:val="0"/>
          <w:sz w:val="24"/>
          <w:szCs w:val="24"/>
        </w:rPr>
      </w:pPr>
      <w:r>
        <w:rPr>
          <w:rFonts w:hint="eastAsia" w:ascii="宋体" w:hAnsi="宋体"/>
          <w:sz w:val="24"/>
          <w:szCs w:val="24"/>
        </w:rPr>
        <w:t>（2）</w:t>
      </w:r>
      <w:r>
        <w:rPr>
          <w:rFonts w:hint="eastAsia" w:ascii="宋体" w:hAnsi="宋体" w:cs="宋体"/>
          <w:color w:val="000000"/>
          <w:kern w:val="0"/>
          <w:sz w:val="24"/>
          <w:szCs w:val="24"/>
        </w:rPr>
        <w:t>《中华人民共和国保守国家秘密法》；</w:t>
      </w:r>
    </w:p>
    <w:p>
      <w:pPr>
        <w:spacing w:line="360" w:lineRule="auto"/>
        <w:ind w:firstLine="480" w:firstLineChars="200"/>
        <w:rPr>
          <w:rFonts w:ascii="宋体" w:hAnsi="宋体" w:cs="宋体"/>
          <w:sz w:val="24"/>
          <w:szCs w:val="24"/>
        </w:rPr>
      </w:pPr>
      <w:r>
        <w:rPr>
          <w:rFonts w:hint="eastAsia" w:ascii="宋体" w:hAnsi="宋体" w:cs="宋体"/>
          <w:sz w:val="24"/>
          <w:szCs w:val="24"/>
        </w:rPr>
        <w:t>（3）《文书档案案卷格式》中华人民共和国国家标准；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（4）《归档文件整理细则》（DA/T22-2015）；</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（5）《档案著录规则》（DA/T18-1999）；</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（6）《南通市文书档案电子目录录入要求》；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（7）《文书档案文件级目录数据库结构和数据交换格式》（DB32/505-2002）；</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（8）</w:t>
      </w:r>
      <w:r>
        <w:rPr>
          <w:rFonts w:hint="eastAsia" w:ascii="宋体" w:hAnsi="宋体" w:cs="宋体"/>
          <w:color w:val="000000"/>
          <w:sz w:val="24"/>
          <w:szCs w:val="24"/>
          <w:lang w:val="zh-CN"/>
        </w:rPr>
        <w:t>《南通市档案馆馆藏档案电子数据管理办法》（通档发[2008]29号）；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（9）《纸质档案数字化技术规范》（DA/T31-2017）；</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（10）《档案数字化转换操作规程》（DB32/T1894-2011）；</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（11）南通市档案馆《关于纸质档案全文数字化处理要求》。</w:t>
      </w:r>
    </w:p>
    <w:p>
      <w:pPr>
        <w:widowControl/>
        <w:adjustRightInd w:val="0"/>
        <w:snapToGrid w:val="0"/>
        <w:spacing w:line="360" w:lineRule="auto"/>
        <w:ind w:firstLine="482" w:firstLineChars="200"/>
        <w:rPr>
          <w:rFonts w:cs="宋体" w:asciiTheme="minorEastAsia" w:hAnsiTheme="minorEastAsia" w:eastAsiaTheme="minorEastAsia"/>
          <w:b/>
          <w:kern w:val="0"/>
          <w:sz w:val="24"/>
          <w:szCs w:val="24"/>
          <w:lang w:bidi="ar"/>
        </w:rPr>
      </w:pPr>
      <w:r>
        <w:rPr>
          <w:rFonts w:hint="eastAsia" w:cs="宋体" w:asciiTheme="minorEastAsia" w:hAnsiTheme="minorEastAsia" w:eastAsiaTheme="minorEastAsia"/>
          <w:b/>
          <w:kern w:val="0"/>
          <w:sz w:val="24"/>
          <w:szCs w:val="24"/>
          <w:lang w:bidi="ar"/>
        </w:rPr>
        <w:t>（二）服务要求</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乙方需自携扫描设备并派员上门提供加工和整理服务，扫描设备性能良好，分辨率在300DPI以上；甲方只提供安装有档案管理软件的电脑、打印机、场地、相关水电需求和必要的档案业务指导、档案原件以及数据验收，其他工作内容及责任均由乙方承担。</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2、项目实施过程中使用的计算机、扫描仪及其它相关设施设备只能作为本项目专用，不得将设备挪作他用或随意把不属于本项目的设备带进工作场所进行操作。</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3、乙方在签订合同时，应成立项目组，指定项目负责人，项目负责人必须具有档案管理相关的专业知识和专业技术证书。工作人员必须严格遵守档案管理的相关规定，自觉遵守甲方的管理制度，作息时间与甲方工作人员一致。中途不得随意更换工作人员，如需更换应征得甲方同意。</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4、确保在整理（含数字化）过程中不对档案原件造成二次损伤。如因原件粘贴，不能完全做到不损伤，须先对档案原件进行备份，并将情况如实汇报给甲方。</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5、扫描前需要对档案实体的整理状况进行规范性检查，不规范的进行重新整理；对现有电子目录数据和档案实体进行校对、完善、输入；发现档案原件需要修复的要进行基本修复，无法修复的需要通知采购方协商处理。</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6、制作《档案出、入库登记表》、《纸质档案数字化流程交接单》、《数据验收报告单》等，详细记录数字化过程中每一个环节的工作情况及责任人。</w:t>
      </w:r>
    </w:p>
    <w:p>
      <w:pPr>
        <w:autoSpaceDE w:val="0"/>
        <w:autoSpaceDN w:val="0"/>
        <w:adjustRightInd w:val="0"/>
        <w:spacing w:line="360" w:lineRule="auto"/>
        <w:ind w:firstLine="472" w:firstLineChars="196"/>
        <w:rPr>
          <w:rFonts w:ascii="宋体" w:hAnsi="宋体" w:cs="宋体"/>
          <w:b/>
          <w:color w:val="000000"/>
          <w:sz w:val="24"/>
          <w:szCs w:val="24"/>
          <w:lang w:val="zh-CN"/>
        </w:rPr>
      </w:pPr>
      <w:r>
        <w:rPr>
          <w:rFonts w:hint="eastAsia" w:ascii="宋体" w:hAnsi="宋体" w:cs="宋体"/>
          <w:b/>
          <w:color w:val="000000"/>
          <w:sz w:val="24"/>
          <w:szCs w:val="24"/>
          <w:lang w:val="zh-CN"/>
        </w:rPr>
        <w:t>（三）具体工作要求</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1、指派经验丰富的专业人员对项目范围内的档案按进馆要求进行梳理。指派专人负责档案实体的出、入库交接工作及平时的管理。确保档案实体安全。</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2、扫描前，根据档案整理规范的要求对档案实体进行拆卷检查，发现问题及时修正（如未编页号或编制有误等）；对轻微破损的页面进行技术修复；破损严重、无法直接进行扫描的页面，应在《纸质档案数字化流程交接单》中注明并及时告之甲方，进行协商处理；对严重折皱不平影响扫描质量的文件应先进行相应处理（压平或熨平等）。</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3、根据档案实体对电子目录进行逐条的核对与补漏，确保文档与目录的一一对应。重点检查档号（包括各组成部分）、题名、保管期限、成文日期、责任者、密级等必录项的内容是否完整、准确、规范。</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4、区分扫描件和非扫描件：重份文件、有原件的复印件等可不扫。</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5、根据档案扫描要求选择相应规格的扫描仪，图纸案卷必须使用专门的图纸扫描仪。</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6、扫描分辨率为300dpi，特殊情况，如文字偏小、密集、清晰度以及纸质状况较差等，可适当提高分辨率。</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7、扫描模式：档案的有文头和章印的纸张采用彩色、档案图纸采用彩色，其他采用黑白。</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8、扫描图像文件存储格式：原始的</w:t>
      </w:r>
      <w:r>
        <w:rPr>
          <w:rFonts w:ascii="宋体" w:hAnsi="宋体" w:cs="宋体"/>
          <w:sz w:val="24"/>
          <w:szCs w:val="24"/>
          <w:lang w:val="zh-CN"/>
        </w:rPr>
        <w:t>jpg</w:t>
      </w:r>
      <w:r>
        <w:rPr>
          <w:rFonts w:hint="eastAsia" w:ascii="宋体" w:hAnsi="宋体" w:cs="宋体"/>
          <w:sz w:val="24"/>
          <w:szCs w:val="24"/>
          <w:lang w:val="zh-CN"/>
        </w:rPr>
        <w:t>格式和经过合成的双层PDF格式两种，严格按进馆要求进行编号命名。</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9、扫描时应根据纸张质地、底色、薄厚程度等因素，设置最佳的扫描明暗度、对比度，保证档案扫描图像与原件一致、整洁、清晰。</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10、对扫描图像进行加工裁剪、去边、去污等技术处理，不留文字版面外的暗影、无干扰信息；</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11、扫描图像的倾斜度不得超出1度，不允许有折叠或缺损，保持图像的完整，图片端正、无扭曲。</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12、对扫描图像文件进行核对与检查，确保图像页面与档案原件页面一一对应，不得出现颠倒、缺页、重页或错页情况。</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13、扫描完成后，应尽可能地按照原来的装订孔进行装订，并确保文件排列顺序正确，无漏页、不压字、页面不颠倒且装订牢固。</w:t>
      </w:r>
    </w:p>
    <w:p>
      <w:pPr>
        <w:autoSpaceDE w:val="0"/>
        <w:autoSpaceDN w:val="0"/>
        <w:adjustRightInd w:val="0"/>
        <w:spacing w:line="360" w:lineRule="auto"/>
        <w:ind w:firstLine="482" w:firstLineChars="200"/>
        <w:rPr>
          <w:rFonts w:ascii="宋体" w:hAnsi="宋体" w:cs="宋体"/>
          <w:b/>
          <w:color w:val="000000"/>
          <w:sz w:val="24"/>
          <w:szCs w:val="24"/>
          <w:lang w:val="zh-CN"/>
        </w:rPr>
      </w:pPr>
      <w:r>
        <w:rPr>
          <w:rFonts w:hint="eastAsia" w:ascii="宋体" w:hAnsi="宋体" w:cs="宋体"/>
          <w:b/>
          <w:color w:val="000000"/>
          <w:sz w:val="24"/>
          <w:szCs w:val="24"/>
          <w:lang w:val="zh-CN"/>
        </w:rPr>
        <w:t>（四）数据验收</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档案整理符合国家档案标准和南通市档案馆要求，确保档案顺利移交进馆，并提交一份电子版给甲方。</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特别说明，乙方应熟悉了解南通市档案局（档案馆）对进馆归档档案的相关要求，本项目实施过程中应严格遵守相关规定。因乙方原因造成本项目无法顺利验收和移交进馆，甲方有权终止合同或扣除有关费用，并保留向乙方追偿的权利。</w:t>
      </w:r>
    </w:p>
    <w:p>
      <w:pPr>
        <w:autoSpaceDE w:val="0"/>
        <w:autoSpaceDN w:val="0"/>
        <w:adjustRightInd w:val="0"/>
        <w:spacing w:line="360" w:lineRule="auto"/>
        <w:ind w:firstLine="482" w:firstLineChars="200"/>
        <w:rPr>
          <w:rFonts w:ascii="宋体" w:hAnsi="宋体" w:cs="宋体"/>
          <w:b/>
          <w:color w:val="000000"/>
          <w:sz w:val="24"/>
          <w:szCs w:val="24"/>
          <w:lang w:val="zh-CN"/>
        </w:rPr>
      </w:pPr>
      <w:r>
        <w:rPr>
          <w:rFonts w:hint="eastAsia" w:ascii="宋体" w:hAnsi="宋体" w:cs="宋体"/>
          <w:b/>
          <w:color w:val="000000"/>
          <w:sz w:val="24"/>
          <w:szCs w:val="24"/>
          <w:lang w:val="zh-CN"/>
        </w:rPr>
        <w:t>四、安全保密工作要求</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1、乙方需与甲方签订保证档案实体和档案信息安全的保密协议，不得截留和向第三方泄露所涉及档案、资料的内容、信息及最终形成的各类数据，确保档案信息的安全保密，若有违反，依据《中华人民共和国档案法》、《中华人民共和国保守国家秘密法》追究责任。</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2、档案数字化加工后的各种影像、资料所有权属于甲方，各种统计资料、影像资料、光盘资料、纸质资料及各种清单等在项目结束时都必须完整地向甲方移交。</w:t>
      </w:r>
    </w:p>
    <w:p>
      <w:pPr>
        <w:autoSpaceDE w:val="0"/>
        <w:autoSpaceDN w:val="0"/>
        <w:adjustRightIn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3</w:t>
      </w:r>
      <w:r>
        <w:rPr>
          <w:rFonts w:hint="eastAsia" w:ascii="宋体" w:hAnsi="宋体" w:cs="宋体"/>
          <w:sz w:val="24"/>
          <w:szCs w:val="24"/>
          <w:lang w:val="zh-CN"/>
        </w:rPr>
        <w:t>、加工现场需由乙方建立24小时视频监控系统，</w:t>
      </w:r>
      <w:r>
        <w:rPr>
          <w:rFonts w:hint="eastAsia" w:ascii="宋体" w:hAnsi="宋体" w:cs="宋体"/>
          <w:color w:val="000000"/>
          <w:sz w:val="24"/>
          <w:szCs w:val="24"/>
          <w:lang w:val="zh-CN"/>
        </w:rPr>
        <w:t>保证档案原件及数据安全，现场工作人员不得以任何形式将各项档案资料带出指定工作现场，不得以任何形式进行泄漏、传播；不得无故查看及讨论档案内容。</w:t>
      </w:r>
    </w:p>
    <w:p>
      <w:pPr>
        <w:widowControl/>
        <w:adjustRightInd w:val="0"/>
        <w:snapToGrid w:val="0"/>
        <w:spacing w:line="360" w:lineRule="auto"/>
        <w:ind w:firstLine="480" w:firstLineChars="200"/>
        <w:rPr>
          <w:rFonts w:cs="宋体" w:asciiTheme="minorEastAsia" w:hAnsiTheme="minorEastAsia" w:eastAsiaTheme="minorEastAsia"/>
          <w:b/>
          <w:kern w:val="0"/>
          <w:sz w:val="24"/>
          <w:szCs w:val="24"/>
          <w:lang w:bidi="ar"/>
        </w:rPr>
      </w:pPr>
      <w:r>
        <w:rPr>
          <w:rFonts w:hint="eastAsia" w:ascii="宋体" w:hAnsi="宋体" w:cs="宋体"/>
          <w:color w:val="000000"/>
          <w:sz w:val="24"/>
          <w:szCs w:val="24"/>
          <w:lang w:val="zh-CN"/>
        </w:rPr>
        <w:t>4、工作人员未经甲方直接管理人员同意，不许私自携带任何存储设备进入或离开工作现场，本次项目涉及所有档案数据的移动存储设备以及工作站上保存加工数据的硬盘在项目验收通过时必须无偿向甲方移交。</w:t>
      </w:r>
    </w:p>
    <w:p>
      <w:pPr>
        <w:snapToGrid w:val="0"/>
        <w:spacing w:line="360" w:lineRule="auto"/>
        <w:ind w:firstLine="482" w:firstLineChars="200"/>
        <w:rPr>
          <w:rFonts w:ascii="宋体" w:hAnsi="宋体" w:cs="宋体"/>
          <w:b/>
          <w:sz w:val="24"/>
          <w:szCs w:val="24"/>
        </w:rPr>
      </w:pPr>
      <w:r>
        <w:rPr>
          <w:rFonts w:hint="eastAsia" w:cs="宋体" w:asciiTheme="minorEastAsia" w:hAnsiTheme="minorEastAsia" w:eastAsiaTheme="minorEastAsia"/>
          <w:b/>
          <w:kern w:val="0"/>
          <w:sz w:val="24"/>
          <w:szCs w:val="24"/>
          <w:lang w:bidi="ar"/>
        </w:rPr>
        <w:t>五</w:t>
      </w:r>
      <w:r>
        <w:rPr>
          <w:rFonts w:hint="eastAsia" w:ascii="宋体" w:hAnsi="宋体" w:cs="宋体"/>
          <w:b/>
          <w:sz w:val="24"/>
          <w:szCs w:val="24"/>
        </w:rPr>
        <w:t>、其他约定事项：</w:t>
      </w:r>
    </w:p>
    <w:p>
      <w:pPr>
        <w:spacing w:line="360" w:lineRule="auto"/>
        <w:ind w:firstLine="480" w:firstLineChars="200"/>
        <w:rPr>
          <w:rFonts w:ascii="宋体" w:hAnsi="宋体" w:cs="宋体"/>
          <w:sz w:val="24"/>
          <w:szCs w:val="24"/>
        </w:rPr>
      </w:pPr>
      <w:r>
        <w:rPr>
          <w:rFonts w:hint="eastAsia" w:ascii="宋体" w:hAnsi="宋体" w:cs="宋体"/>
          <w:sz w:val="24"/>
          <w:szCs w:val="24"/>
        </w:rPr>
        <w:t>1、乙方必须按照法律、法规及劳动法的有关规定为服务人员办理相关手续，合法经营。</w:t>
      </w:r>
    </w:p>
    <w:p>
      <w:pPr>
        <w:spacing w:line="360" w:lineRule="auto"/>
        <w:ind w:firstLine="480" w:firstLineChars="200"/>
        <w:rPr>
          <w:rFonts w:ascii="宋体" w:hAnsi="宋体" w:cs="宋体"/>
          <w:sz w:val="24"/>
          <w:szCs w:val="24"/>
        </w:rPr>
      </w:pPr>
      <w:r>
        <w:rPr>
          <w:rFonts w:hint="eastAsia" w:ascii="宋体" w:hAnsi="宋体" w:cs="宋体"/>
          <w:sz w:val="24"/>
          <w:szCs w:val="24"/>
        </w:rPr>
        <w:t>2、乙方为甲方提供的服务人员在合同期内如发生因工伤、致残、疾病、死亡等各类劳动仲裁、诉讼等事宜均与甲方无关。</w:t>
      </w:r>
    </w:p>
    <w:p>
      <w:pPr>
        <w:spacing w:line="360" w:lineRule="auto"/>
        <w:ind w:firstLine="480" w:firstLineChars="200"/>
        <w:rPr>
          <w:rFonts w:ascii="宋体" w:hAnsi="宋体" w:cs="宋体"/>
          <w:sz w:val="24"/>
          <w:szCs w:val="24"/>
        </w:rPr>
      </w:pPr>
      <w:r>
        <w:rPr>
          <w:rFonts w:hint="eastAsia" w:ascii="宋体" w:hAnsi="宋体" w:cs="宋体"/>
          <w:sz w:val="24"/>
          <w:szCs w:val="24"/>
        </w:rPr>
        <w:t>3、工作过程中因乙方责任所造成的经济损失由乙方按实际额赔偿。因不可抗力因素造成增加的费用，双方共同协商解决。</w:t>
      </w:r>
    </w:p>
    <w:p>
      <w:pPr>
        <w:pStyle w:val="20"/>
        <w:spacing w:line="360" w:lineRule="auto"/>
        <w:ind w:firstLine="480" w:firstLineChars="200"/>
        <w:rPr>
          <w:rFonts w:ascii="宋体" w:hAnsi="宋体" w:cs="宋体"/>
          <w:sz w:val="24"/>
          <w:szCs w:val="24"/>
        </w:rPr>
      </w:pPr>
      <w:r>
        <w:rPr>
          <w:rFonts w:hint="eastAsia" w:ascii="宋体" w:hAnsi="宋体" w:cs="宋体"/>
          <w:sz w:val="24"/>
          <w:szCs w:val="24"/>
        </w:rPr>
        <w:t>4、合同届满时，乙方必须做好一切交接手续，确保甲方工作的正常进行，否则视为乙方违约，造成损失的应予赔偿。如甲方因特殊原因需延期的，乙方应配合完成。</w:t>
      </w:r>
    </w:p>
    <w:p>
      <w:pPr>
        <w:snapToGrid w:val="0"/>
        <w:spacing w:line="360" w:lineRule="auto"/>
        <w:ind w:firstLine="480" w:firstLineChars="200"/>
        <w:rPr>
          <w:rFonts w:ascii="宋体" w:hAnsi="宋体"/>
          <w:sz w:val="24"/>
          <w:szCs w:val="24"/>
        </w:rPr>
      </w:pPr>
      <w:r>
        <w:rPr>
          <w:rFonts w:hint="eastAsia" w:ascii="宋体" w:hAnsi="宋体"/>
          <w:sz w:val="24"/>
          <w:szCs w:val="24"/>
        </w:rPr>
        <w:t>5、违约处理：未经双方共同同意，本合同不得随意终止，</w:t>
      </w:r>
      <w:r>
        <w:rPr>
          <w:rFonts w:ascii="宋体" w:hAnsi="宋体"/>
          <w:sz w:val="24"/>
          <w:szCs w:val="24"/>
        </w:rPr>
        <w:t xml:space="preserve"> </w:t>
      </w:r>
    </w:p>
    <w:p>
      <w:pPr>
        <w:snapToGrid w:val="0"/>
        <w:spacing w:line="360" w:lineRule="auto"/>
        <w:ind w:firstLine="480" w:firstLineChars="200"/>
        <w:rPr>
          <w:rFonts w:ascii="宋体" w:hAnsi="宋体"/>
          <w:sz w:val="24"/>
          <w:szCs w:val="24"/>
        </w:rPr>
      </w:pPr>
      <w:r>
        <w:rPr>
          <w:rFonts w:hint="eastAsia" w:ascii="宋体" w:hAnsi="宋体"/>
          <w:sz w:val="24"/>
          <w:szCs w:val="24"/>
        </w:rPr>
        <w:t>9、如遇不可抗力造成的损失或合同终止，双方均不承担责任。</w:t>
      </w:r>
    </w:p>
    <w:p>
      <w:pPr>
        <w:snapToGrid w:val="0"/>
        <w:spacing w:line="360" w:lineRule="auto"/>
        <w:ind w:firstLine="480" w:firstLineChars="200"/>
        <w:rPr>
          <w:rFonts w:ascii="宋体" w:hAnsi="宋体"/>
          <w:sz w:val="24"/>
          <w:szCs w:val="24"/>
        </w:rPr>
      </w:pPr>
      <w:r>
        <w:rPr>
          <w:rFonts w:hint="eastAsia" w:ascii="宋体" w:hAnsi="宋体"/>
          <w:sz w:val="24"/>
          <w:szCs w:val="24"/>
        </w:rPr>
        <w:t>10、如遇本合同或磋商文件未提及事项，由双方友好协商处理。协商不成，可向合同履行所在地人民法院提起诉讼。</w:t>
      </w:r>
    </w:p>
    <w:p>
      <w:pPr>
        <w:snapToGrid w:val="0"/>
        <w:spacing w:line="360" w:lineRule="auto"/>
        <w:ind w:firstLine="480" w:firstLineChars="200"/>
        <w:rPr>
          <w:rFonts w:ascii="宋体" w:hAnsi="宋体"/>
          <w:sz w:val="24"/>
          <w:szCs w:val="24"/>
        </w:rPr>
      </w:pPr>
      <w:r>
        <w:rPr>
          <w:rFonts w:hint="eastAsia" w:ascii="宋体" w:hAnsi="宋体"/>
          <w:sz w:val="24"/>
          <w:szCs w:val="24"/>
        </w:rPr>
        <w:t>11、本合同壹式肆份，甲、乙双方各执贰份。乙方缴纳履约保证金，且双方签字、盖章确认后，本合同生效。</w:t>
      </w:r>
    </w:p>
    <w:p>
      <w:pPr>
        <w:spacing w:line="520" w:lineRule="exact"/>
        <w:ind w:firstLine="484" w:firstLineChars="202"/>
        <w:rPr>
          <w:rFonts w:ascii="宋体" w:hAnsi="宋体" w:cs="宋体"/>
          <w:kern w:val="0"/>
          <w:sz w:val="24"/>
          <w:szCs w:val="24"/>
        </w:rPr>
      </w:pPr>
    </w:p>
    <w:p>
      <w:pPr>
        <w:spacing w:line="520" w:lineRule="exact"/>
        <w:ind w:firstLine="484" w:firstLineChars="202"/>
        <w:rPr>
          <w:rFonts w:ascii="宋体"/>
          <w:kern w:val="0"/>
          <w:sz w:val="24"/>
          <w:szCs w:val="24"/>
        </w:rPr>
      </w:pPr>
      <w:r>
        <w:rPr>
          <w:rFonts w:hint="eastAsia" w:ascii="宋体" w:hAnsi="宋体" w:cs="宋体"/>
          <w:kern w:val="0"/>
          <w:sz w:val="24"/>
          <w:szCs w:val="24"/>
        </w:rPr>
        <w:t>采购单位（甲方）：              成交供应商（乙方）：</w:t>
      </w:r>
    </w:p>
    <w:p>
      <w:pPr>
        <w:spacing w:line="520" w:lineRule="exact"/>
        <w:ind w:firstLine="484" w:firstLineChars="202"/>
        <w:rPr>
          <w:rFonts w:ascii="宋体"/>
          <w:kern w:val="0"/>
          <w:sz w:val="24"/>
          <w:szCs w:val="24"/>
        </w:rPr>
      </w:pPr>
      <w:r>
        <w:rPr>
          <w:rFonts w:hint="eastAsia" w:ascii="宋体" w:hAnsi="宋体" w:cs="宋体"/>
          <w:kern w:val="0"/>
          <w:sz w:val="24"/>
          <w:szCs w:val="24"/>
        </w:rPr>
        <w:t>法定代表人：                    法定代表人：</w:t>
      </w:r>
    </w:p>
    <w:p>
      <w:pPr>
        <w:spacing w:line="520" w:lineRule="exact"/>
        <w:ind w:firstLine="484" w:firstLineChars="202"/>
        <w:rPr>
          <w:rFonts w:ascii="宋体"/>
          <w:kern w:val="0"/>
          <w:sz w:val="24"/>
          <w:szCs w:val="24"/>
        </w:rPr>
      </w:pPr>
      <w:r>
        <w:rPr>
          <w:rFonts w:hint="eastAsia" w:ascii="宋体" w:hAnsi="宋体" w:cs="宋体"/>
          <w:kern w:val="0"/>
          <w:sz w:val="24"/>
          <w:szCs w:val="24"/>
        </w:rPr>
        <w:t>委托代理人：                    委托代理人：</w:t>
      </w:r>
    </w:p>
    <w:p>
      <w:pPr>
        <w:snapToGrid w:val="0"/>
        <w:spacing w:line="480" w:lineRule="exact"/>
        <w:rPr>
          <w:rFonts w:ascii="宋体"/>
          <w:sz w:val="24"/>
          <w:szCs w:val="24"/>
        </w:rPr>
      </w:pPr>
    </w:p>
    <w:p>
      <w:pPr>
        <w:pStyle w:val="20"/>
      </w:pPr>
    </w:p>
    <w:p>
      <w:pPr>
        <w:pStyle w:val="25"/>
        <w:tabs>
          <w:tab w:val="left" w:pos="1050"/>
          <w:tab w:val="right" w:leader="dot" w:pos="9402"/>
        </w:tabs>
        <w:spacing w:line="520" w:lineRule="exact"/>
        <w:ind w:left="0"/>
        <w:outlineLvl w:val="0"/>
        <w:rPr>
          <w:rFonts w:ascii="宋体"/>
          <w:b/>
          <w:bCs/>
          <w:i w:val="0"/>
          <w:iCs w:val="0"/>
          <w:w w:val="80"/>
          <w:sz w:val="28"/>
          <w:szCs w:val="28"/>
        </w:rPr>
      </w:pPr>
      <w:r>
        <w:rPr>
          <w:rFonts w:ascii="宋体"/>
          <w:b/>
          <w:bCs/>
          <w:i w:val="0"/>
          <w:iCs w:val="0"/>
          <w:w w:val="80"/>
          <w:sz w:val="28"/>
          <w:szCs w:val="28"/>
        </w:rPr>
        <w:t>注：采购人保留调整合同条款的权利。</w:t>
      </w:r>
      <w:r>
        <w:rPr>
          <w:rFonts w:ascii="宋体"/>
          <w:b/>
          <w:bCs/>
          <w:i w:val="0"/>
          <w:iCs w:val="0"/>
          <w:w w:val="80"/>
          <w:sz w:val="28"/>
          <w:szCs w:val="28"/>
        </w:rPr>
        <w:br w:type="page"/>
      </w:r>
    </w:p>
    <w:p>
      <w:pPr>
        <w:pStyle w:val="25"/>
        <w:tabs>
          <w:tab w:val="left" w:pos="1050"/>
          <w:tab w:val="right" w:leader="dot" w:pos="9402"/>
        </w:tabs>
        <w:spacing w:line="520" w:lineRule="exact"/>
        <w:ind w:left="0"/>
        <w:jc w:val="center"/>
        <w:outlineLvl w:val="0"/>
        <w:rPr>
          <w:rFonts w:ascii="宋体" w:hAnsi="宋体" w:cs="宋体"/>
          <w:b/>
          <w:bCs/>
          <w:i w:val="0"/>
          <w:iCs w:val="0"/>
          <w:w w:val="80"/>
          <w:sz w:val="44"/>
          <w:szCs w:val="44"/>
        </w:rPr>
      </w:pPr>
    </w:p>
    <w:p>
      <w:pPr>
        <w:pStyle w:val="25"/>
        <w:tabs>
          <w:tab w:val="left" w:pos="1050"/>
          <w:tab w:val="right" w:leader="dot" w:pos="9402"/>
        </w:tabs>
        <w:spacing w:line="520" w:lineRule="exact"/>
        <w:ind w:left="0"/>
        <w:jc w:val="center"/>
        <w:outlineLvl w:val="0"/>
        <w:rPr>
          <w:rFonts w:ascii="宋体"/>
          <w:b/>
          <w:bCs/>
          <w:i w:val="0"/>
          <w:iCs w:val="0"/>
          <w:w w:val="80"/>
          <w:sz w:val="44"/>
          <w:szCs w:val="44"/>
        </w:rPr>
      </w:pPr>
      <w:r>
        <w:rPr>
          <w:rFonts w:hint="eastAsia" w:ascii="宋体" w:hAnsi="宋体" w:cs="宋体"/>
          <w:b/>
          <w:bCs/>
          <w:i w:val="0"/>
          <w:iCs w:val="0"/>
          <w:w w:val="80"/>
          <w:sz w:val="44"/>
          <w:szCs w:val="44"/>
        </w:rPr>
        <w:t>第六章  合同授予</w:t>
      </w:r>
    </w:p>
    <w:p>
      <w:pPr>
        <w:snapToGrid w:val="0"/>
        <w:spacing w:line="480" w:lineRule="exact"/>
        <w:ind w:firstLine="494" w:firstLineChars="206"/>
        <w:outlineLvl w:val="1"/>
        <w:rPr>
          <w:rFonts w:ascii="宋体" w:hAnsi="宋体" w:cs="宋体"/>
          <w:sz w:val="24"/>
          <w:szCs w:val="24"/>
        </w:rPr>
      </w:pPr>
    </w:p>
    <w:p>
      <w:pPr>
        <w:snapToGrid w:val="0"/>
        <w:spacing w:line="360" w:lineRule="auto"/>
        <w:ind w:firstLine="494" w:firstLineChars="206"/>
        <w:outlineLvl w:val="1"/>
        <w:rPr>
          <w:rFonts w:ascii="宋体"/>
          <w:sz w:val="24"/>
          <w:szCs w:val="24"/>
        </w:rPr>
      </w:pPr>
      <w:r>
        <w:rPr>
          <w:rFonts w:hint="eastAsia" w:ascii="宋体" w:hAnsi="宋体" w:cs="宋体"/>
          <w:sz w:val="24"/>
          <w:szCs w:val="24"/>
        </w:rPr>
        <w:t>一、</w:t>
      </w:r>
      <w:r>
        <w:rPr>
          <w:rFonts w:hint="eastAsia" w:ascii="宋体" w:hAnsi="宋体" w:cs="宋体"/>
          <w:kern w:val="0"/>
          <w:sz w:val="24"/>
          <w:szCs w:val="24"/>
        </w:rPr>
        <w:t>成交供应商在《成交通知书》发出后15日内必须按照磋商文件确定的事项签订政府采购合同。</w:t>
      </w:r>
      <w:r>
        <w:rPr>
          <w:rFonts w:hint="eastAsia" w:ascii="宋体" w:hAnsi="宋体" w:cs="宋体"/>
          <w:sz w:val="24"/>
          <w:szCs w:val="24"/>
        </w:rPr>
        <w:t>合同一式肆份，采购人、供应商各贰份。</w:t>
      </w:r>
      <w:r>
        <w:rPr>
          <w:rFonts w:hint="eastAsia" w:ascii="宋体" w:hAnsi="宋体" w:cs="宋体"/>
          <w:kern w:val="0"/>
          <w:sz w:val="24"/>
          <w:szCs w:val="24"/>
        </w:rPr>
        <w:t>所签合同不得对磋商文件作实质性修改。采购人不得向成交供应商提出不合理的要求作为签订合同的条件，不得与成交供应商私下订立背离磋商文件实质性内容的协议。</w:t>
      </w:r>
    </w:p>
    <w:p>
      <w:pPr>
        <w:snapToGrid w:val="0"/>
        <w:spacing w:line="360" w:lineRule="auto"/>
        <w:ind w:firstLine="573"/>
        <w:rPr>
          <w:rFonts w:ascii="宋体"/>
          <w:sz w:val="24"/>
          <w:szCs w:val="24"/>
        </w:rPr>
      </w:pPr>
      <w:r>
        <w:rPr>
          <w:rFonts w:hint="eastAsia" w:ascii="宋体" w:hAnsi="宋体" w:cs="宋体"/>
          <w:sz w:val="24"/>
          <w:szCs w:val="24"/>
        </w:rPr>
        <w:t>二、采购人按合同约定积极配合成交供应商履约，成交供应商履约到位后，请以书面形式向采购人提出验收申请，采购人接到申请后原则上在10个工作日内及时组织相关专业技术人员，必要时邀请财政等部门共同参与验收，并出具验收报告，验收合格的原则上</w:t>
      </w:r>
      <w:r>
        <w:rPr>
          <w:rFonts w:ascii="宋体" w:hAnsi="宋体" w:cs="宋体"/>
          <w:sz w:val="24"/>
          <w:szCs w:val="24"/>
        </w:rPr>
        <w:t>5</w:t>
      </w:r>
      <w:r>
        <w:rPr>
          <w:rFonts w:hint="eastAsia" w:ascii="宋体" w:hAnsi="宋体" w:cs="宋体"/>
          <w:sz w:val="24"/>
          <w:szCs w:val="24"/>
        </w:rPr>
        <w:t>个工作日内支付相应款项。</w:t>
      </w:r>
    </w:p>
    <w:p>
      <w:pPr>
        <w:snapToGrid w:val="0"/>
        <w:spacing w:line="360" w:lineRule="auto"/>
        <w:ind w:firstLine="573"/>
        <w:rPr>
          <w:rFonts w:ascii="宋体"/>
          <w:sz w:val="24"/>
          <w:szCs w:val="24"/>
        </w:rPr>
      </w:pPr>
      <w:r>
        <w:rPr>
          <w:rFonts w:hint="eastAsia" w:ascii="宋体" w:hAnsi="宋体" w:cs="宋体"/>
          <w:sz w:val="24"/>
          <w:szCs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360" w:lineRule="auto"/>
        <w:ind w:firstLine="573"/>
        <w:rPr>
          <w:rFonts w:ascii="宋体"/>
          <w:sz w:val="24"/>
          <w:szCs w:val="24"/>
        </w:rPr>
      </w:pPr>
      <w:r>
        <w:rPr>
          <w:rFonts w:hint="eastAsia" w:ascii="宋体" w:hAnsi="宋体" w:cs="宋体"/>
          <w:sz w:val="24"/>
          <w:szCs w:val="24"/>
        </w:rPr>
        <w:t>四、成交供应商出现违约情形，应当及时纠正或补偿；造成损失的，按合同约定追究违约责任；发现有假冒、伪劣、走私产品、商业贿赂等违法情形的，应由采购人移交市场监管、公安等行政执法部门依法查处。</w:t>
      </w:r>
    </w:p>
    <w:p>
      <w:pPr>
        <w:snapToGrid w:val="0"/>
        <w:spacing w:line="360" w:lineRule="auto"/>
        <w:ind w:firstLine="573"/>
        <w:rPr>
          <w:rFonts w:ascii="宋体"/>
          <w:sz w:val="24"/>
          <w:szCs w:val="24"/>
        </w:rPr>
      </w:pPr>
      <w:r>
        <w:rPr>
          <w:rFonts w:hint="eastAsia" w:ascii="宋体" w:hAnsi="宋体" w:cs="宋体"/>
          <w:sz w:val="24"/>
          <w:szCs w:val="24"/>
        </w:rPr>
        <w:t>五、按政府采购合同约定支付的合同价款。</w:t>
      </w:r>
    </w:p>
    <w:p>
      <w:pPr>
        <w:snapToGrid w:val="0"/>
        <w:spacing w:line="360" w:lineRule="auto"/>
        <w:ind w:firstLine="573"/>
        <w:rPr>
          <w:rFonts w:ascii="宋体"/>
          <w:sz w:val="24"/>
          <w:szCs w:val="24"/>
        </w:rPr>
      </w:pPr>
      <w:r>
        <w:rPr>
          <w:rFonts w:hint="eastAsia" w:ascii="宋体" w:hAnsi="宋体" w:cs="宋体"/>
          <w:sz w:val="24"/>
          <w:szCs w:val="24"/>
        </w:rPr>
        <w:t>六、不响应付款方式的，视同响应文件无效，按无效响应文件处理。</w:t>
      </w:r>
    </w:p>
    <w:p>
      <w:pPr>
        <w:snapToGrid w:val="0"/>
        <w:spacing w:line="360" w:lineRule="auto"/>
        <w:ind w:firstLine="573"/>
        <w:rPr>
          <w:rFonts w:ascii="宋体"/>
          <w:sz w:val="24"/>
          <w:szCs w:val="24"/>
        </w:rPr>
      </w:pPr>
      <w:r>
        <w:rPr>
          <w:rFonts w:hint="eastAsia" w:ascii="宋体" w:hAnsi="宋体" w:cs="宋体"/>
          <w:sz w:val="24"/>
          <w:szCs w:val="24"/>
        </w:rPr>
        <w:t>七、付款方式详见磋商文件第五章。</w:t>
      </w:r>
    </w:p>
    <w:p>
      <w:pPr>
        <w:snapToGrid w:val="0"/>
        <w:spacing w:line="360" w:lineRule="auto"/>
        <w:ind w:firstLine="573"/>
        <w:rPr>
          <w:rFonts w:ascii="宋体"/>
          <w:sz w:val="24"/>
          <w:szCs w:val="24"/>
        </w:rPr>
      </w:pPr>
      <w:r>
        <w:rPr>
          <w:rFonts w:hint="eastAsia" w:ascii="宋体" w:hAnsi="宋体" w:cs="宋体"/>
          <w:sz w:val="24"/>
          <w:szCs w:val="24"/>
        </w:rPr>
        <w:t>八、以上合同价款的支付及履约保证金的退还均不计息。</w:t>
      </w:r>
    </w:p>
    <w:p>
      <w:pPr>
        <w:snapToGrid w:val="0"/>
        <w:spacing w:line="480" w:lineRule="exact"/>
        <w:ind w:firstLine="573"/>
        <w:jc w:val="center"/>
        <w:rPr>
          <w:rFonts w:ascii="宋体"/>
          <w:b/>
          <w:bCs/>
          <w:i/>
          <w:iCs/>
          <w:kern w:val="44"/>
          <w:sz w:val="44"/>
          <w:szCs w:val="44"/>
        </w:rPr>
      </w:pPr>
      <w:r>
        <w:rPr>
          <w:rFonts w:ascii="宋体"/>
          <w:b/>
          <w:bCs/>
          <w:i/>
          <w:iCs/>
          <w:kern w:val="44"/>
          <w:sz w:val="44"/>
          <w:szCs w:val="44"/>
        </w:rPr>
        <w:br w:type="page"/>
      </w:r>
    </w:p>
    <w:p>
      <w:pPr>
        <w:snapToGrid w:val="0"/>
        <w:spacing w:line="480" w:lineRule="exact"/>
        <w:ind w:firstLine="573"/>
        <w:jc w:val="center"/>
        <w:rPr>
          <w:rFonts w:ascii="宋体"/>
          <w:sz w:val="24"/>
          <w:szCs w:val="24"/>
        </w:rPr>
      </w:pPr>
      <w:r>
        <w:rPr>
          <w:rFonts w:hint="eastAsia" w:ascii="宋体" w:hAnsi="宋体" w:cs="宋体"/>
          <w:b/>
          <w:bCs/>
          <w:kern w:val="44"/>
          <w:sz w:val="44"/>
          <w:szCs w:val="44"/>
        </w:rPr>
        <w:t>第七章  质疑提出和处理</w:t>
      </w:r>
    </w:p>
    <w:p>
      <w:pPr>
        <w:adjustRightInd w:val="0"/>
        <w:snapToGrid w:val="0"/>
        <w:spacing w:line="480" w:lineRule="exact"/>
        <w:ind w:firstLine="480" w:firstLineChars="200"/>
        <w:rPr>
          <w:rFonts w:ascii="宋体" w:hAnsi="宋体" w:cs="宋体"/>
          <w:color w:val="000000"/>
          <w:sz w:val="24"/>
          <w:szCs w:val="24"/>
        </w:rPr>
      </w:pPr>
    </w:p>
    <w:p>
      <w:pPr>
        <w:adjustRightInd w:val="0"/>
        <w:snapToGrid w:val="0"/>
        <w:spacing w:line="480" w:lineRule="exact"/>
        <w:ind w:firstLine="480" w:firstLineChars="200"/>
        <w:rPr>
          <w:rFonts w:ascii="宋体"/>
          <w:color w:val="000000"/>
          <w:sz w:val="24"/>
          <w:szCs w:val="24"/>
        </w:rPr>
      </w:pPr>
      <w:r>
        <w:rPr>
          <w:rFonts w:hint="eastAsia" w:ascii="宋体" w:hAnsi="宋体" w:cs="宋体"/>
          <w:color w:val="000000"/>
          <w:sz w:val="24"/>
          <w:szCs w:val="24"/>
        </w:rPr>
        <w:t>一、质疑的提出</w:t>
      </w:r>
    </w:p>
    <w:p>
      <w:pPr>
        <w:adjustRightInd w:val="0"/>
        <w:snapToGrid w:val="0"/>
        <w:spacing w:line="480" w:lineRule="exac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color w:val="000000"/>
          <w:sz w:val="24"/>
          <w:szCs w:val="24"/>
        </w:rPr>
        <w:t>2</w:t>
      </w:r>
      <w:r>
        <w:rPr>
          <w:rFonts w:hint="eastAsia" w:ascii="宋体" w:hAnsi="宋体" w:cs="宋体"/>
          <w:color w:val="000000"/>
          <w:sz w:val="24"/>
          <w:szCs w:val="24"/>
        </w:rPr>
        <w:t>、下载磋商文件的供应商应</w:t>
      </w:r>
      <w:r>
        <w:rPr>
          <w:rFonts w:hint="eastAsia" w:ascii="宋体" w:hAnsi="宋体" w:cs="宋体"/>
          <w:sz w:val="24"/>
          <w:szCs w:val="24"/>
        </w:rPr>
        <w:t>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磋商过程、成交结果提出质疑；在磋商过程中，凡主持人或磋商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人或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采购人或代理机构不负责搜集相关佐证材料等工作。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color w:val="000000"/>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w:t>
      </w:r>
      <w:r>
        <w:rPr>
          <w:rFonts w:hint="eastAsia" w:ascii="宋体" w:hAnsi="宋体" w:cs="宋体"/>
          <w:color w:val="000000"/>
          <w:sz w:val="24"/>
          <w:szCs w:val="24"/>
        </w:rPr>
        <w:t>送达采购人和代理机构。</w:t>
      </w:r>
    </w:p>
    <w:p>
      <w:pPr>
        <w:adjustRightInd w:val="0"/>
        <w:snapToGrid w:val="0"/>
        <w:spacing w:line="480" w:lineRule="exac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、采购人、代理机构负责将质疑人提出的质疑相关材料提供给相关专家或磋商小组审核，并将审核意见回复质疑人。</w:t>
      </w:r>
    </w:p>
    <w:p>
      <w:pPr>
        <w:adjustRightInd w:val="0"/>
        <w:snapToGrid w:val="0"/>
        <w:spacing w:line="480" w:lineRule="exact"/>
        <w:ind w:firstLine="480" w:firstLineChars="200"/>
        <w:rPr>
          <w:rFonts w:ascii="宋体"/>
          <w:color w:val="000000"/>
          <w:sz w:val="24"/>
          <w:szCs w:val="24"/>
        </w:rPr>
      </w:pPr>
      <w:r>
        <w:rPr>
          <w:rFonts w:hint="eastAsia" w:ascii="宋体" w:hAnsi="宋体" w:cs="宋体"/>
          <w:color w:val="000000"/>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、因质疑情况复杂，组织论证或审查时间较长的，采购人、代理机构以书面形式通知质疑人，可适当延长质疑回复处理时间。</w:t>
      </w:r>
    </w:p>
    <w:p>
      <w:pPr>
        <w:adjustRightInd w:val="0"/>
        <w:snapToGrid w:val="0"/>
        <w:spacing w:line="480" w:lineRule="exact"/>
        <w:ind w:firstLine="480" w:firstLineChars="200"/>
        <w:rPr>
          <w:rFonts w:ascii="宋体"/>
          <w:color w:val="000000"/>
          <w:sz w:val="24"/>
          <w:szCs w:val="24"/>
        </w:rPr>
      </w:pPr>
      <w:r>
        <w:rPr>
          <w:rFonts w:hint="eastAsia" w:ascii="宋体" w:hAnsi="宋体" w:cs="宋体"/>
          <w:color w:val="000000"/>
          <w:sz w:val="24"/>
          <w:szCs w:val="24"/>
        </w:rPr>
        <w:t>三、质疑处理</w:t>
      </w:r>
    </w:p>
    <w:p>
      <w:pPr>
        <w:adjustRightInd w:val="0"/>
        <w:snapToGrid w:val="0"/>
        <w:spacing w:line="480" w:lineRule="exac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、质疑成立的处理。采购人或代理机构终止采购，并建议有关部门给相关当事人予以处理。</w:t>
      </w:r>
    </w:p>
    <w:p>
      <w:pPr>
        <w:adjustRightInd w:val="0"/>
        <w:snapToGrid w:val="0"/>
        <w:spacing w:line="480" w:lineRule="exac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、质疑不成立的处理。</w:t>
      </w:r>
    </w:p>
    <w:p>
      <w:pPr>
        <w:adjustRightInd w:val="0"/>
        <w:snapToGrid w:val="0"/>
        <w:spacing w:line="480" w:lineRule="exac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）质疑人书面《申请撤回质疑函》的，不作违约处理。</w:t>
      </w:r>
    </w:p>
    <w:p>
      <w:pPr>
        <w:adjustRightInd w:val="0"/>
        <w:snapToGrid w:val="0"/>
        <w:spacing w:line="480" w:lineRule="exac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）质疑人虽提供了相关佐证材料，但不能证明其质疑成立的，采购人或代理机构请质疑人补充相关佐证材料，仍不能证明其质疑成立的，作违约处理。并将其列入不良供应商名单。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）对明显有违事实的、经磋商小组认定无依据的、经其他供应商举证无依据的质疑，作违约处理，列入不良供应商名单；同时，对其中每一项不成立的质疑给予质疑人</w:t>
      </w:r>
      <w:r>
        <w:rPr>
          <w:rFonts w:ascii="宋体" w:hAnsi="宋体" w:cs="宋体"/>
          <w:color w:val="000000"/>
          <w:sz w:val="24"/>
          <w:szCs w:val="24"/>
        </w:rPr>
        <w:t>1</w:t>
      </w:r>
      <w:r>
        <w:rPr>
          <w:rFonts w:hint="eastAsia" w:ascii="宋体" w:hAnsi="宋体" w:cs="宋体"/>
          <w:color w:val="000000"/>
          <w:sz w:val="24"/>
          <w:szCs w:val="24"/>
        </w:rPr>
        <w:t>年内禁入本区域内的政府采购活动的违约处理，依次类推；视情在南通公共资源交易平台、省、国家级相关媒体予以披露。</w:t>
      </w:r>
    </w:p>
    <w:p>
      <w:pPr>
        <w:adjustRightInd w:val="0"/>
        <w:snapToGrid w:val="0"/>
        <w:spacing w:line="480" w:lineRule="exact"/>
        <w:ind w:firstLine="480" w:firstLineChars="200"/>
        <w:rPr>
          <w:rFonts w:ascii="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）质疑人承担使用虚假材料或恶意方式质疑的法律责任。</w:t>
      </w:r>
    </w:p>
    <w:p>
      <w:pPr>
        <w:adjustRightInd w:val="0"/>
        <w:snapToGrid w:val="0"/>
        <w:spacing w:line="480" w:lineRule="exact"/>
        <w:ind w:firstLine="480" w:firstLineChars="200"/>
        <w:rPr>
          <w:rFonts w:ascii="宋体"/>
          <w:color w:val="000000"/>
          <w:sz w:val="24"/>
          <w:szCs w:val="24"/>
        </w:rPr>
      </w:pPr>
      <w:r>
        <w:rPr>
          <w:rFonts w:hint="eastAsia" w:ascii="宋体" w:hAnsi="宋体" w:cs="宋体"/>
          <w:color w:val="000000"/>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color w:val="000000"/>
          <w:sz w:val="24"/>
          <w:szCs w:val="24"/>
        </w:rPr>
        <w:t>1</w:t>
      </w:r>
      <w:r>
        <w:rPr>
          <w:rFonts w:hint="eastAsia" w:ascii="宋体" w:hAnsi="宋体" w:cs="宋体"/>
          <w:color w:val="000000"/>
          <w:sz w:val="24"/>
          <w:szCs w:val="24"/>
        </w:rPr>
        <w:t>至</w:t>
      </w:r>
      <w:r>
        <w:rPr>
          <w:rFonts w:ascii="宋体" w:hAnsi="宋体" w:cs="宋体"/>
          <w:color w:val="000000"/>
          <w:sz w:val="24"/>
          <w:szCs w:val="24"/>
        </w:rPr>
        <w:t>3</w:t>
      </w:r>
      <w:r>
        <w:rPr>
          <w:rFonts w:hint="eastAsia" w:ascii="宋体" w:hAnsi="宋体" w:cs="宋体"/>
          <w:color w:val="000000"/>
          <w:sz w:val="24"/>
          <w:szCs w:val="24"/>
        </w:rPr>
        <w:t>年内禁入由采购人组织的政府采购活动的违约处理。</w:t>
      </w:r>
    </w:p>
    <w:p>
      <w:pPr>
        <w:adjustRightInd w:val="0"/>
        <w:snapToGrid w:val="0"/>
        <w:spacing w:line="480" w:lineRule="exact"/>
        <w:ind w:firstLine="480" w:firstLineChars="200"/>
        <w:rPr>
          <w:rFonts w:ascii="宋体"/>
          <w:color w:val="000000"/>
          <w:sz w:val="24"/>
          <w:szCs w:val="24"/>
        </w:rPr>
      </w:pPr>
      <w:r>
        <w:rPr>
          <w:rFonts w:hint="eastAsia" w:ascii="宋体" w:hAnsi="宋体" w:cs="宋体"/>
          <w:color w:val="000000"/>
          <w:sz w:val="24"/>
          <w:szCs w:val="24"/>
        </w:rPr>
        <w:t>五、投诉不成立的作违约处理。供应商进行质疑后，采购人回复质疑不成立，供应商仍进行投诉的，并最终投诉不成立的，作违约处理。采购人有权对其在</w:t>
      </w:r>
      <w:r>
        <w:rPr>
          <w:rFonts w:ascii="宋体" w:hAnsi="宋体" w:cs="宋体"/>
          <w:color w:val="000000"/>
          <w:sz w:val="24"/>
          <w:szCs w:val="24"/>
        </w:rPr>
        <w:t>1</w:t>
      </w:r>
      <w:r>
        <w:rPr>
          <w:rFonts w:hint="eastAsia" w:ascii="宋体" w:hAnsi="宋体" w:cs="宋体"/>
          <w:color w:val="000000"/>
          <w:sz w:val="24"/>
          <w:szCs w:val="24"/>
        </w:rPr>
        <w:t>至</w:t>
      </w:r>
      <w:r>
        <w:rPr>
          <w:rFonts w:ascii="宋体" w:hAnsi="宋体" w:cs="宋体"/>
          <w:color w:val="000000"/>
          <w:sz w:val="24"/>
          <w:szCs w:val="24"/>
        </w:rPr>
        <w:t>3</w:t>
      </w:r>
      <w:r>
        <w:rPr>
          <w:rFonts w:hint="eastAsia" w:ascii="宋体" w:hAnsi="宋体" w:cs="宋体"/>
          <w:color w:val="000000"/>
          <w:sz w:val="24"/>
          <w:szCs w:val="24"/>
        </w:rPr>
        <w:t>年内禁入由采购人组织的政府采购活动的违约处理。</w:t>
      </w:r>
    </w:p>
    <w:p>
      <w:pPr>
        <w:adjustRightInd w:val="0"/>
        <w:snapToGrid w:val="0"/>
        <w:spacing w:line="480" w:lineRule="exact"/>
        <w:ind w:firstLine="480" w:firstLineChars="200"/>
        <w:rPr>
          <w:rFonts w:ascii="宋体"/>
          <w:color w:val="000000"/>
          <w:sz w:val="24"/>
          <w:szCs w:val="24"/>
        </w:rPr>
      </w:pPr>
      <w:r>
        <w:rPr>
          <w:rFonts w:hint="eastAsia" w:ascii="宋体" w:hAnsi="宋体" w:cs="宋体"/>
          <w:color w:val="000000"/>
          <w:sz w:val="24"/>
          <w:szCs w:val="24"/>
        </w:rPr>
        <w:t>六、《质疑函》、《质疑回复函》，质疑、举报、投诉不成立的等相关情况，视情在市、省、国家级等相关媒体予以披露。并建议相关政府采购机构对该供应商同步实施</w:t>
      </w:r>
      <w:r>
        <w:rPr>
          <w:rFonts w:ascii="宋体" w:hAnsi="宋体" w:cs="宋体"/>
          <w:color w:val="000000"/>
          <w:sz w:val="24"/>
          <w:szCs w:val="24"/>
        </w:rPr>
        <w:t>1</w:t>
      </w:r>
      <w:r>
        <w:rPr>
          <w:rFonts w:hint="eastAsia" w:ascii="宋体" w:hAnsi="宋体" w:cs="宋体"/>
          <w:color w:val="000000"/>
          <w:sz w:val="24"/>
          <w:szCs w:val="24"/>
        </w:rPr>
        <w:t>至</w:t>
      </w:r>
      <w:r>
        <w:rPr>
          <w:rFonts w:ascii="宋体" w:hAnsi="宋体" w:cs="宋体"/>
          <w:color w:val="000000"/>
          <w:sz w:val="24"/>
          <w:szCs w:val="24"/>
        </w:rPr>
        <w:t>3</w:t>
      </w:r>
      <w:r>
        <w:rPr>
          <w:rFonts w:hint="eastAsia" w:ascii="宋体" w:hAnsi="宋体" w:cs="宋体"/>
          <w:color w:val="000000"/>
          <w:sz w:val="24"/>
          <w:szCs w:val="24"/>
        </w:rPr>
        <w:t>年内禁入。</w:t>
      </w:r>
    </w:p>
    <w:p>
      <w:pPr>
        <w:adjustRightInd w:val="0"/>
        <w:snapToGrid w:val="0"/>
        <w:spacing w:line="480" w:lineRule="exact"/>
        <w:ind w:firstLine="480" w:firstLineChars="200"/>
        <w:rPr>
          <w:rFonts w:ascii="宋体"/>
          <w:color w:val="000000"/>
          <w:sz w:val="24"/>
          <w:szCs w:val="24"/>
        </w:rPr>
      </w:pPr>
      <w:r>
        <w:rPr>
          <w:rFonts w:hint="eastAsia" w:ascii="宋体" w:hAnsi="宋体" w:cs="宋体"/>
          <w:color w:val="000000"/>
          <w:sz w:val="24"/>
          <w:szCs w:val="24"/>
        </w:rPr>
        <w:t>七、质疑供应商对采购人或代理机构的答复不满意或者采购人或代理机构未在规定的时间内作出答复的，可以在答复期满后</w:t>
      </w:r>
      <w:r>
        <w:rPr>
          <w:rFonts w:ascii="宋体" w:hAnsi="宋体" w:cs="宋体"/>
          <w:color w:val="000000"/>
          <w:sz w:val="24"/>
          <w:szCs w:val="24"/>
        </w:rPr>
        <w:t>15</w:t>
      </w:r>
      <w:r>
        <w:rPr>
          <w:rFonts w:hint="eastAsia" w:ascii="宋体" w:hAnsi="宋体" w:cs="宋体"/>
          <w:color w:val="000000"/>
          <w:sz w:val="24"/>
          <w:szCs w:val="24"/>
        </w:rPr>
        <w:t>个工作日内向监督管理部门投诉。</w:t>
      </w:r>
    </w:p>
    <w:p>
      <w:pPr>
        <w:pStyle w:val="6"/>
        <w:keepNext w:val="0"/>
        <w:keepLines w:val="0"/>
        <w:numPr>
          <w:ilvl w:val="0"/>
          <w:numId w:val="0"/>
        </w:numPr>
        <w:snapToGrid w:val="0"/>
        <w:spacing w:before="0" w:after="120" w:afterLines="50" w:line="520" w:lineRule="exact"/>
        <w:ind w:left="420"/>
        <w:jc w:val="center"/>
        <w:rPr>
          <w:rFonts w:ascii="宋体"/>
        </w:rPr>
      </w:pPr>
      <w:bookmarkStart w:id="73" w:name="_Toc363573860"/>
      <w:r>
        <w:rPr>
          <w:rFonts w:ascii="宋体"/>
          <w:color w:val="000000"/>
          <w:w w:val="80"/>
          <w:sz w:val="24"/>
          <w:szCs w:val="24"/>
        </w:rPr>
        <w:br w:type="page"/>
      </w:r>
      <w:r>
        <w:rPr>
          <w:rFonts w:hint="eastAsia" w:ascii="宋体" w:hAnsi="宋体" w:cs="宋体"/>
          <w:w w:val="80"/>
        </w:rPr>
        <w:t>第八章  响应文件组成及格式</w:t>
      </w:r>
      <w:bookmarkEnd w:id="73"/>
    </w:p>
    <w:p>
      <w:pPr>
        <w:widowControl/>
        <w:snapToGrid w:val="0"/>
        <w:spacing w:line="360" w:lineRule="auto"/>
        <w:ind w:firstLine="472" w:firstLineChars="196"/>
        <w:jc w:val="left"/>
        <w:rPr>
          <w:rFonts w:ascii="宋体" w:hAnsi="宋体" w:cs="宋体"/>
          <w:b/>
          <w:bCs/>
          <w:sz w:val="24"/>
          <w:szCs w:val="24"/>
        </w:rPr>
      </w:pPr>
    </w:p>
    <w:p>
      <w:pPr>
        <w:widowControl/>
        <w:snapToGrid w:val="0"/>
        <w:spacing w:line="360" w:lineRule="auto"/>
        <w:ind w:firstLine="472" w:firstLineChars="196"/>
        <w:jc w:val="left"/>
        <w:rPr>
          <w:rFonts w:ascii="宋体" w:hAnsi="宋体" w:cs="宋体"/>
          <w:b/>
          <w:bCs/>
          <w:sz w:val="24"/>
          <w:szCs w:val="24"/>
        </w:rPr>
      </w:pPr>
      <w:r>
        <w:rPr>
          <w:rFonts w:hint="eastAsia" w:ascii="宋体" w:hAnsi="宋体" w:cs="宋体"/>
          <w:b/>
          <w:bCs/>
          <w:sz w:val="24"/>
          <w:szCs w:val="24"/>
        </w:rPr>
        <w:t>响应文件由资格审查文件、技术标、商务标三部分组成。本次竞争性磋商采用资格后审方式，供应商须将资格审查文件作为响应文件组成部分，按磋商文件要求装订密封后一起递交。</w:t>
      </w:r>
    </w:p>
    <w:p>
      <w:pPr>
        <w:snapToGrid w:val="0"/>
        <w:spacing w:line="360" w:lineRule="auto"/>
        <w:ind w:firstLine="496" w:firstLineChars="206"/>
        <w:outlineLvl w:val="1"/>
        <w:rPr>
          <w:rFonts w:ascii="宋体" w:hAnsi="宋体" w:cs="宋体"/>
          <w:b/>
          <w:snapToGrid w:val="0"/>
          <w:kern w:val="0"/>
          <w:sz w:val="24"/>
          <w:szCs w:val="24"/>
        </w:rPr>
      </w:pPr>
      <w:r>
        <w:rPr>
          <w:rFonts w:hint="eastAsia" w:ascii="宋体" w:hAnsi="宋体" w:cs="宋体"/>
          <w:b/>
          <w:snapToGrid w:val="0"/>
          <w:kern w:val="0"/>
          <w:sz w:val="24"/>
          <w:szCs w:val="24"/>
        </w:rPr>
        <w:t>（一）资格审查文件（单独装订密封）</w:t>
      </w:r>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1、提供有效的《营业执照》的复印件或扫描打印件。</w:t>
      </w:r>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2、供应商法定代表人参加磋商的，必须提供法定代表人身份证明（格式详见第八章）及本人身份证的复印件或扫描打印件；非法定代表人参加磋商的，必须提供法定代表人签字或盖章的授权委托书（格式详见第八章）及被授权人本人的身份证复印件或扫描打印件、被授权人为供应商正式人员证明材料【提供①与供应商签订的有效劳动合同复印件或扫描打印件；②社保机构出具并盖章的供应商为其缴纳最近6个月（至少缴纳至2022年</w:t>
      </w:r>
      <w:r>
        <w:rPr>
          <w:rFonts w:hint="eastAsia" w:ascii="宋体" w:hAnsi="宋体"/>
          <w:sz w:val="24"/>
          <w:szCs w:val="24"/>
          <w:lang w:val="en-US" w:eastAsia="zh-CN"/>
        </w:rPr>
        <w:t>2</w:t>
      </w:r>
      <w:r>
        <w:rPr>
          <w:rFonts w:hint="eastAsia" w:ascii="宋体" w:hAnsi="宋体"/>
          <w:sz w:val="24"/>
          <w:szCs w:val="24"/>
        </w:rPr>
        <w:t>月份）的养老保险缴费清单复印件或扫描打印件】。</w:t>
      </w:r>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3、供应商一般情况表（格式详见第八章）。</w:t>
      </w:r>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4、具有良好的商业信誉和健全的财务会计制度：供应商2020年度或2021年度的财务报表的复印件或扫描打印件（成立不足一年的无需提供）。</w:t>
      </w:r>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5、有依法缴纳税收和社会保障资金的良好记录：近6个月中任意一个月份(不含磋商当月)的依法缴纳税收、缴纳社会保障资金的相关材料（提供相关主管部门证明或银行代扣证明）的复印件或扫描打印件。</w:t>
      </w:r>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6、具有履行合同所必需的设备和专业技术能力：提供《具有履行合同所必需的设备和专业技术能力的书面声明》（格式详见第八章，须加盖公章，正本中必须为原件）；</w:t>
      </w:r>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7、供应商须提供参与本次项目政府采购活动前三年内，在经营活动中没有重大违法记录的书面《无重大违法记录声明函》(格式详见第八章，须加盖公章，正本中必须为原件）。</w:t>
      </w:r>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8、供应商须提供《关于资格文件的声明函》(格式详见第八章，须加盖公章，正本中必须为原件）。</w:t>
      </w:r>
    </w:p>
    <w:p>
      <w:pPr>
        <w:pStyle w:val="20"/>
        <w:spacing w:line="360" w:lineRule="auto"/>
      </w:pPr>
      <w:r>
        <w:rPr>
          <w:rFonts w:hint="eastAsia" w:ascii="宋体" w:hAnsi="宋体"/>
          <w:kern w:val="2"/>
          <w:sz w:val="24"/>
          <w:szCs w:val="24"/>
        </w:rPr>
        <w:t xml:space="preserve">    9、供应商认为需要提交的其他资料。</w:t>
      </w:r>
    </w:p>
    <w:p>
      <w:pPr>
        <w:widowControl/>
        <w:snapToGrid w:val="0"/>
        <w:spacing w:line="360" w:lineRule="auto"/>
        <w:ind w:firstLine="482" w:firstLineChars="200"/>
        <w:jc w:val="left"/>
        <w:rPr>
          <w:rFonts w:ascii="宋体" w:hAnsi="宋体" w:cs="宋体"/>
          <w:b/>
          <w:snapToGrid w:val="0"/>
          <w:kern w:val="0"/>
          <w:sz w:val="24"/>
          <w:szCs w:val="24"/>
        </w:rPr>
      </w:pPr>
      <w:r>
        <w:rPr>
          <w:rFonts w:hint="eastAsia" w:ascii="宋体" w:hAnsi="宋体" w:cs="宋体"/>
          <w:b/>
          <w:snapToGrid w:val="0"/>
          <w:kern w:val="0"/>
          <w:sz w:val="24"/>
          <w:szCs w:val="24"/>
        </w:rPr>
        <w:t>（二）技术标（单独装订密封），不得出现在资格审查文件中：</w:t>
      </w:r>
    </w:p>
    <w:p>
      <w:pPr>
        <w:snapToGrid w:val="0"/>
        <w:spacing w:line="360" w:lineRule="auto"/>
        <w:ind w:firstLine="494" w:firstLineChars="206"/>
        <w:outlineLvl w:val="1"/>
        <w:rPr>
          <w:rFonts w:ascii="宋体" w:hAnsi="宋体" w:cs="宋体"/>
          <w:snapToGrid w:val="0"/>
          <w:kern w:val="0"/>
          <w:sz w:val="24"/>
          <w:szCs w:val="24"/>
        </w:rPr>
      </w:pPr>
      <w:r>
        <w:rPr>
          <w:rFonts w:hint="eastAsia" w:ascii="宋体" w:hAnsi="宋体" w:cs="宋体"/>
          <w:snapToGrid w:val="0"/>
          <w:kern w:val="0"/>
          <w:sz w:val="24"/>
          <w:szCs w:val="24"/>
        </w:rPr>
        <w:t>1、竞争性磋商响应函（格式详见第八章）；</w:t>
      </w:r>
    </w:p>
    <w:p>
      <w:pPr>
        <w:snapToGrid w:val="0"/>
        <w:spacing w:line="360" w:lineRule="auto"/>
        <w:ind w:firstLine="494" w:firstLineChars="206"/>
        <w:outlineLvl w:val="1"/>
        <w:rPr>
          <w:rFonts w:ascii="宋体" w:hAnsi="宋体" w:cs="宋体"/>
          <w:snapToGrid w:val="0"/>
          <w:kern w:val="0"/>
          <w:sz w:val="24"/>
          <w:szCs w:val="24"/>
        </w:rPr>
      </w:pPr>
      <w:r>
        <w:rPr>
          <w:rFonts w:ascii="宋体" w:hAnsi="宋体" w:cs="宋体"/>
          <w:snapToGrid w:val="0"/>
          <w:kern w:val="0"/>
          <w:sz w:val="24"/>
          <w:szCs w:val="24"/>
        </w:rPr>
        <w:t>2</w:t>
      </w:r>
      <w:r>
        <w:rPr>
          <w:rFonts w:hint="eastAsia" w:ascii="宋体" w:hAnsi="宋体" w:cs="宋体"/>
          <w:snapToGrid w:val="0"/>
          <w:kern w:val="0"/>
          <w:sz w:val="24"/>
          <w:szCs w:val="24"/>
        </w:rPr>
        <w:t>、评标办法中所涉及的事项需提供的所有资料；</w:t>
      </w:r>
    </w:p>
    <w:p>
      <w:pPr>
        <w:snapToGrid w:val="0"/>
        <w:spacing w:line="360" w:lineRule="auto"/>
        <w:ind w:firstLine="494" w:firstLineChars="206"/>
        <w:outlineLvl w:val="1"/>
        <w:rPr>
          <w:rFonts w:ascii="宋体" w:hAnsi="宋体" w:cs="宋体"/>
          <w:snapToGrid w:val="0"/>
          <w:kern w:val="0"/>
          <w:sz w:val="24"/>
          <w:szCs w:val="24"/>
        </w:rPr>
      </w:pPr>
      <w:r>
        <w:rPr>
          <w:rFonts w:hint="eastAsia" w:ascii="宋体" w:hAnsi="宋体" w:cs="宋体"/>
          <w:snapToGrid w:val="0"/>
          <w:kern w:val="0"/>
          <w:sz w:val="24"/>
          <w:szCs w:val="24"/>
        </w:rPr>
        <w:t>3、评标办法中未涉及的事项，供应商认为需要提交的其他资料。</w:t>
      </w:r>
    </w:p>
    <w:p>
      <w:pPr>
        <w:snapToGrid w:val="0"/>
        <w:spacing w:line="360" w:lineRule="auto"/>
        <w:ind w:firstLine="494" w:firstLineChars="206"/>
        <w:outlineLvl w:val="1"/>
        <w:rPr>
          <w:rFonts w:ascii="宋体" w:hAnsi="宋体" w:cs="宋体"/>
          <w:snapToGrid w:val="0"/>
          <w:kern w:val="0"/>
          <w:sz w:val="24"/>
          <w:szCs w:val="24"/>
        </w:rPr>
      </w:pPr>
      <w:r>
        <w:rPr>
          <w:rFonts w:hint="eastAsia" w:ascii="宋体" w:hAnsi="宋体" w:cs="宋体"/>
          <w:snapToGrid w:val="0"/>
          <w:kern w:val="0"/>
          <w:sz w:val="24"/>
          <w:szCs w:val="24"/>
        </w:rPr>
        <w:t>根据评标办法中的得分要点及项目需求进行编制，并提供相应的材料，可以补充。</w:t>
      </w:r>
    </w:p>
    <w:p>
      <w:pPr>
        <w:snapToGrid w:val="0"/>
        <w:spacing w:line="360" w:lineRule="auto"/>
        <w:ind w:firstLine="472" w:firstLineChars="196"/>
        <w:jc w:val="left"/>
        <w:rPr>
          <w:rFonts w:ascii="宋体"/>
          <w:sz w:val="24"/>
          <w:szCs w:val="24"/>
        </w:rPr>
      </w:pPr>
      <w:r>
        <w:rPr>
          <w:rFonts w:hint="eastAsia" w:ascii="宋体" w:hAnsi="宋体" w:cs="宋体"/>
          <w:b/>
          <w:bCs/>
          <w:color w:val="000000"/>
          <w:sz w:val="24"/>
          <w:szCs w:val="24"/>
        </w:rPr>
        <w:t>特别提</w:t>
      </w:r>
      <w:r>
        <w:rPr>
          <w:rFonts w:hint="eastAsia" w:ascii="宋体" w:hAnsi="宋体" w:cs="宋体"/>
          <w:b/>
          <w:bCs/>
          <w:sz w:val="24"/>
          <w:szCs w:val="24"/>
        </w:rPr>
        <w:t>醒：“资格审查文件”、“技术标”所须提供的材料（须加盖供应商公章）按磋商文件要求装订，密封，递交。“资格审查文件”、“技术标”所涉及相关资料等证明材料原件请带至开标现场备查。未携带原件或因携带原件不全所引起的后果由供应商自行承担。</w:t>
      </w:r>
    </w:p>
    <w:p>
      <w:pPr>
        <w:widowControl/>
        <w:snapToGrid w:val="0"/>
        <w:spacing w:line="360" w:lineRule="auto"/>
        <w:ind w:firstLine="482" w:firstLineChars="200"/>
        <w:jc w:val="left"/>
        <w:rPr>
          <w:rFonts w:ascii="宋体" w:hAnsi="宋体" w:cs="宋体"/>
          <w:b/>
          <w:snapToGrid w:val="0"/>
          <w:kern w:val="0"/>
          <w:sz w:val="24"/>
          <w:szCs w:val="24"/>
        </w:rPr>
      </w:pPr>
      <w:r>
        <w:rPr>
          <w:rFonts w:hint="eastAsia" w:ascii="宋体" w:hAnsi="宋体" w:cs="宋体"/>
          <w:b/>
          <w:snapToGrid w:val="0"/>
          <w:kern w:val="0"/>
          <w:sz w:val="24"/>
          <w:szCs w:val="24"/>
        </w:rPr>
        <w:t>（三）商务标（单独装订密封），不得出现在资格审查文件和技术</w:t>
      </w:r>
      <w:r>
        <w:rPr>
          <w:rFonts w:hint="eastAsia" w:ascii="宋体" w:hAnsi="宋体" w:cs="宋体"/>
          <w:b/>
          <w:bCs/>
          <w:sz w:val="24"/>
          <w:szCs w:val="24"/>
          <w:lang w:val="zh-CN"/>
        </w:rPr>
        <w:t>标</w:t>
      </w:r>
      <w:r>
        <w:rPr>
          <w:rFonts w:hint="eastAsia" w:ascii="宋体" w:hAnsi="宋体" w:cs="宋体"/>
          <w:b/>
          <w:snapToGrid w:val="0"/>
          <w:kern w:val="0"/>
          <w:sz w:val="24"/>
          <w:szCs w:val="24"/>
        </w:rPr>
        <w:t>中</w:t>
      </w:r>
    </w:p>
    <w:p>
      <w:pPr>
        <w:snapToGrid w:val="0"/>
        <w:spacing w:line="360" w:lineRule="auto"/>
        <w:ind w:firstLine="494" w:firstLineChars="206"/>
        <w:outlineLvl w:val="1"/>
        <w:rPr>
          <w:rFonts w:ascii="宋体" w:hAnsi="宋体" w:cs="宋体"/>
          <w:snapToGrid w:val="0"/>
          <w:kern w:val="0"/>
          <w:sz w:val="24"/>
          <w:szCs w:val="24"/>
        </w:rPr>
      </w:pPr>
      <w:r>
        <w:rPr>
          <w:rFonts w:hint="eastAsia" w:ascii="宋体" w:hAnsi="宋体" w:cs="宋体"/>
          <w:snapToGrid w:val="0"/>
          <w:kern w:val="0"/>
          <w:sz w:val="24"/>
          <w:szCs w:val="24"/>
        </w:rPr>
        <w:t>1、磋商响应报价总表</w:t>
      </w:r>
      <w:r>
        <w:rPr>
          <w:rFonts w:hint="eastAsia" w:ascii="宋体" w:hAnsi="宋体"/>
          <w:snapToGrid w:val="0"/>
          <w:kern w:val="0"/>
          <w:sz w:val="24"/>
          <w:szCs w:val="24"/>
        </w:rPr>
        <w:t>（格式详见第八章）</w:t>
      </w:r>
      <w:r>
        <w:rPr>
          <w:rFonts w:hint="eastAsia" w:ascii="宋体" w:hAnsi="宋体" w:cs="宋体"/>
          <w:snapToGrid w:val="0"/>
          <w:kern w:val="0"/>
          <w:sz w:val="24"/>
          <w:szCs w:val="24"/>
        </w:rPr>
        <w:t>；</w:t>
      </w:r>
    </w:p>
    <w:p>
      <w:pPr>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2、中小企业声明函（</w:t>
      </w:r>
      <w:r>
        <w:rPr>
          <w:rFonts w:hint="eastAsia" w:ascii="宋体" w:hAnsi="宋体"/>
          <w:snapToGrid w:val="0"/>
          <w:kern w:val="0"/>
          <w:sz w:val="24"/>
          <w:szCs w:val="24"/>
        </w:rPr>
        <w:t>格式详见第八章</w:t>
      </w:r>
      <w:r>
        <w:rPr>
          <w:rFonts w:hint="eastAsia" w:ascii="宋体" w:hAnsi="宋体" w:cs="宋体"/>
          <w:snapToGrid w:val="0"/>
          <w:kern w:val="0"/>
          <w:sz w:val="24"/>
          <w:szCs w:val="24"/>
        </w:rPr>
        <w:t>，如不提供此声明函，响应报价将不做相应扣除）。</w:t>
      </w:r>
    </w:p>
    <w:p>
      <w:pPr>
        <w:spacing w:line="480" w:lineRule="auto"/>
        <w:rPr>
          <w:rFonts w:ascii="宋体" w:hAnsi="宋体" w:cs="宋体"/>
          <w:b/>
          <w:bCs/>
          <w:color w:val="000000"/>
          <w:sz w:val="28"/>
          <w:szCs w:val="28"/>
        </w:rPr>
      </w:pPr>
      <w:r>
        <w:rPr>
          <w:rFonts w:ascii="宋体" w:hAnsi="宋体" w:cs="宋体"/>
          <w:b/>
          <w:bCs/>
          <w:color w:val="000000"/>
          <w:sz w:val="28"/>
          <w:szCs w:val="28"/>
        </w:rPr>
        <w:br w:type="page"/>
      </w:r>
    </w:p>
    <w:p>
      <w:pPr>
        <w:pStyle w:val="2"/>
      </w:pPr>
    </w:p>
    <w:p>
      <w:pPr>
        <w:pStyle w:val="2"/>
      </w:pPr>
    </w:p>
    <w:p>
      <w:pPr>
        <w:widowControl/>
        <w:shd w:val="clear" w:color="auto" w:fill="FFFFFF"/>
        <w:snapToGrid w:val="0"/>
        <w:spacing w:line="360" w:lineRule="auto"/>
        <w:jc w:val="center"/>
        <w:rPr>
          <w:rFonts w:ascii="宋体" w:hAnsi="宋体"/>
          <w:b/>
          <w:snapToGrid w:val="0"/>
          <w:kern w:val="0"/>
          <w:sz w:val="36"/>
          <w:szCs w:val="36"/>
        </w:rPr>
      </w:pPr>
      <w:r>
        <w:rPr>
          <w:rFonts w:hint="eastAsia" w:ascii="宋体" w:hAnsi="宋体" w:cs="Arial"/>
          <w:bCs/>
          <w:sz w:val="36"/>
          <w:szCs w:val="36"/>
        </w:rPr>
        <w:t>南通市妇幼保健院出生医学证明进馆档案整理服务项目</w:t>
      </w:r>
    </w:p>
    <w:p>
      <w:pPr>
        <w:spacing w:before="240" w:beforeLines="100" w:after="240" w:afterLines="100" w:line="400" w:lineRule="exact"/>
        <w:jc w:val="left"/>
        <w:rPr>
          <w:rFonts w:ascii="宋体" w:hAnsi="宋体"/>
          <w:b/>
          <w:snapToGrid w:val="0"/>
          <w:kern w:val="0"/>
          <w:sz w:val="32"/>
          <w:szCs w:val="32"/>
        </w:rPr>
      </w:pPr>
    </w:p>
    <w:p>
      <w:pPr>
        <w:spacing w:before="240" w:beforeLines="100" w:after="240" w:afterLines="100" w:line="400" w:lineRule="exact"/>
        <w:jc w:val="center"/>
        <w:rPr>
          <w:rFonts w:ascii="宋体" w:hAnsi="宋体"/>
          <w:b/>
          <w:snapToGrid w:val="0"/>
          <w:kern w:val="0"/>
          <w:sz w:val="32"/>
          <w:szCs w:val="32"/>
        </w:rPr>
      </w:pPr>
    </w:p>
    <w:p>
      <w:pPr>
        <w:spacing w:before="240" w:beforeLines="100" w:after="240" w:afterLines="100" w:line="400" w:lineRule="exact"/>
        <w:jc w:val="center"/>
        <w:rPr>
          <w:rFonts w:ascii="宋体" w:hAnsi="宋体"/>
          <w:b/>
          <w:snapToGrid w:val="0"/>
          <w:kern w:val="0"/>
          <w:sz w:val="32"/>
          <w:szCs w:val="32"/>
        </w:rPr>
      </w:pPr>
    </w:p>
    <w:p>
      <w:pPr>
        <w:spacing w:before="240" w:beforeLines="100" w:after="240" w:afterLines="100" w:line="400" w:lineRule="exact"/>
        <w:jc w:val="center"/>
        <w:rPr>
          <w:rFonts w:ascii="宋体" w:hAnsi="宋体"/>
          <w:b/>
          <w:snapToGrid w:val="0"/>
          <w:kern w:val="0"/>
          <w:sz w:val="32"/>
          <w:szCs w:val="32"/>
        </w:rPr>
      </w:pPr>
    </w:p>
    <w:p>
      <w:pPr>
        <w:spacing w:before="240" w:beforeLines="100" w:after="240" w:afterLines="100" w:line="480" w:lineRule="auto"/>
        <w:jc w:val="center"/>
        <w:rPr>
          <w:rFonts w:ascii="宋体" w:hAnsi="宋体"/>
          <w:b/>
          <w:snapToGrid w:val="0"/>
          <w:kern w:val="0"/>
          <w:sz w:val="48"/>
          <w:szCs w:val="48"/>
        </w:rPr>
      </w:pPr>
      <w:r>
        <w:rPr>
          <w:rFonts w:hint="eastAsia" w:ascii="宋体" w:hAnsi="宋体"/>
          <w:b/>
          <w:snapToGrid w:val="0"/>
          <w:kern w:val="0"/>
          <w:sz w:val="48"/>
          <w:szCs w:val="48"/>
        </w:rPr>
        <w:t>竞争性磋商响应文件</w:t>
      </w:r>
    </w:p>
    <w:p>
      <w:pPr>
        <w:spacing w:line="420" w:lineRule="exact"/>
        <w:ind w:firstLine="3724" w:firstLineChars="1552"/>
        <w:jc w:val="left"/>
        <w:rPr>
          <w:rFonts w:ascii="宋体" w:hAnsi="宋体" w:eastAsia="华文楷体"/>
          <w:snapToGrid w:val="0"/>
          <w:kern w:val="0"/>
          <w:sz w:val="24"/>
          <w:szCs w:val="24"/>
        </w:rPr>
      </w:pPr>
    </w:p>
    <w:p>
      <w:pPr>
        <w:spacing w:line="420" w:lineRule="exact"/>
        <w:ind w:firstLine="3724" w:firstLineChars="1552"/>
        <w:jc w:val="left"/>
        <w:rPr>
          <w:rFonts w:ascii="宋体" w:hAnsi="宋体"/>
          <w:snapToGrid w:val="0"/>
          <w:kern w:val="0"/>
          <w:sz w:val="24"/>
          <w:szCs w:val="24"/>
        </w:rPr>
      </w:pPr>
    </w:p>
    <w:p>
      <w:pPr>
        <w:spacing w:line="420" w:lineRule="exact"/>
        <w:ind w:firstLine="2976" w:firstLineChars="1240"/>
        <w:jc w:val="left"/>
        <w:rPr>
          <w:rFonts w:ascii="宋体" w:hAnsi="宋体"/>
          <w:snapToGrid w:val="0"/>
          <w:kern w:val="0"/>
          <w:sz w:val="24"/>
          <w:szCs w:val="24"/>
        </w:rPr>
      </w:pPr>
      <w:r>
        <w:rPr>
          <w:rFonts w:hint="eastAsia" w:ascii="宋体" w:hAnsi="宋体"/>
          <w:snapToGrid w:val="0"/>
          <w:kern w:val="0"/>
          <w:sz w:val="24"/>
          <w:szCs w:val="24"/>
        </w:rPr>
        <w:t>对应填写：资格审查文件</w:t>
      </w:r>
    </w:p>
    <w:p>
      <w:pPr>
        <w:spacing w:line="420" w:lineRule="exact"/>
        <w:ind w:firstLine="4176" w:firstLineChars="1740"/>
        <w:rPr>
          <w:rFonts w:ascii="宋体" w:hAnsi="宋体"/>
          <w:snapToGrid w:val="0"/>
          <w:kern w:val="0"/>
          <w:sz w:val="24"/>
          <w:szCs w:val="24"/>
        </w:rPr>
      </w:pPr>
      <w:r>
        <w:rPr>
          <w:rFonts w:hint="eastAsia" w:ascii="宋体" w:hAnsi="宋体"/>
          <w:snapToGrid w:val="0"/>
          <w:kern w:val="0"/>
          <w:sz w:val="24"/>
          <w:szCs w:val="24"/>
        </w:rPr>
        <w:t>技术标</w:t>
      </w:r>
    </w:p>
    <w:p>
      <w:pPr>
        <w:spacing w:line="420" w:lineRule="exact"/>
        <w:ind w:firstLine="4176" w:firstLineChars="1740"/>
        <w:rPr>
          <w:rFonts w:ascii="宋体" w:hAnsi="宋体"/>
          <w:snapToGrid w:val="0"/>
          <w:kern w:val="0"/>
          <w:sz w:val="24"/>
          <w:szCs w:val="24"/>
        </w:rPr>
      </w:pPr>
      <w:r>
        <w:rPr>
          <w:rFonts w:hint="eastAsia" w:ascii="宋体" w:hAnsi="宋体"/>
          <w:snapToGrid w:val="0"/>
          <w:kern w:val="0"/>
          <w:sz w:val="24"/>
          <w:szCs w:val="24"/>
        </w:rPr>
        <w:t>商务标</w:t>
      </w:r>
    </w:p>
    <w:p>
      <w:pPr>
        <w:snapToGrid w:val="0"/>
        <w:spacing w:line="420" w:lineRule="exact"/>
        <w:jc w:val="center"/>
        <w:rPr>
          <w:rFonts w:ascii="宋体" w:hAnsi="宋体"/>
          <w:snapToGrid w:val="0"/>
          <w:kern w:val="0"/>
          <w:sz w:val="24"/>
          <w:szCs w:val="24"/>
        </w:rPr>
      </w:pPr>
    </w:p>
    <w:p>
      <w:pPr>
        <w:snapToGrid w:val="0"/>
        <w:spacing w:line="420" w:lineRule="exact"/>
        <w:jc w:val="center"/>
        <w:rPr>
          <w:rFonts w:ascii="宋体" w:hAnsi="宋体"/>
          <w:b/>
          <w:bCs/>
          <w:snapToGrid w:val="0"/>
          <w:spacing w:val="20"/>
          <w:kern w:val="0"/>
          <w:sz w:val="24"/>
          <w:szCs w:val="24"/>
        </w:rPr>
      </w:pPr>
    </w:p>
    <w:p>
      <w:pPr>
        <w:snapToGrid w:val="0"/>
        <w:spacing w:line="420" w:lineRule="exact"/>
        <w:jc w:val="center"/>
        <w:rPr>
          <w:rFonts w:ascii="宋体" w:hAnsi="宋体"/>
          <w:b/>
          <w:bCs/>
          <w:snapToGrid w:val="0"/>
          <w:spacing w:val="20"/>
          <w:kern w:val="0"/>
          <w:sz w:val="24"/>
          <w:szCs w:val="24"/>
        </w:rPr>
      </w:pPr>
    </w:p>
    <w:p>
      <w:pPr>
        <w:snapToGrid w:val="0"/>
        <w:spacing w:line="420" w:lineRule="exact"/>
        <w:jc w:val="center"/>
        <w:rPr>
          <w:rFonts w:ascii="宋体" w:hAnsi="宋体"/>
          <w:b/>
          <w:bCs/>
          <w:snapToGrid w:val="0"/>
          <w:spacing w:val="20"/>
          <w:kern w:val="0"/>
          <w:sz w:val="24"/>
          <w:szCs w:val="24"/>
        </w:rPr>
      </w:pPr>
    </w:p>
    <w:p>
      <w:pPr>
        <w:snapToGrid w:val="0"/>
        <w:spacing w:line="420" w:lineRule="exact"/>
        <w:jc w:val="center"/>
        <w:rPr>
          <w:rFonts w:ascii="宋体" w:hAnsi="宋体"/>
          <w:b/>
          <w:bCs/>
          <w:snapToGrid w:val="0"/>
          <w:spacing w:val="20"/>
          <w:kern w:val="0"/>
          <w:sz w:val="24"/>
          <w:szCs w:val="24"/>
        </w:rPr>
      </w:pPr>
    </w:p>
    <w:p>
      <w:pPr>
        <w:snapToGrid w:val="0"/>
        <w:spacing w:line="420" w:lineRule="exact"/>
        <w:rPr>
          <w:rFonts w:ascii="宋体" w:hAnsi="宋体"/>
          <w:b/>
          <w:bCs/>
          <w:snapToGrid w:val="0"/>
          <w:spacing w:val="20"/>
          <w:kern w:val="0"/>
          <w:sz w:val="24"/>
          <w:szCs w:val="24"/>
        </w:rPr>
      </w:pPr>
    </w:p>
    <w:p>
      <w:pPr>
        <w:snapToGrid w:val="0"/>
        <w:spacing w:line="420" w:lineRule="exact"/>
        <w:jc w:val="center"/>
        <w:rPr>
          <w:rFonts w:ascii="宋体" w:hAnsi="宋体"/>
          <w:b/>
          <w:bCs/>
          <w:snapToGrid w:val="0"/>
          <w:spacing w:val="20"/>
          <w:kern w:val="0"/>
          <w:sz w:val="24"/>
          <w:szCs w:val="24"/>
        </w:rPr>
      </w:pPr>
    </w:p>
    <w:p>
      <w:pPr>
        <w:snapToGrid w:val="0"/>
        <w:spacing w:line="420" w:lineRule="exact"/>
        <w:jc w:val="center"/>
        <w:rPr>
          <w:rFonts w:ascii="宋体" w:hAnsi="宋体"/>
          <w:b/>
          <w:bCs/>
          <w:snapToGrid w:val="0"/>
          <w:spacing w:val="20"/>
          <w:kern w:val="0"/>
          <w:sz w:val="24"/>
          <w:szCs w:val="24"/>
        </w:rPr>
      </w:pPr>
    </w:p>
    <w:p>
      <w:pPr>
        <w:snapToGrid w:val="0"/>
        <w:spacing w:line="420" w:lineRule="exact"/>
        <w:jc w:val="center"/>
        <w:rPr>
          <w:rFonts w:ascii="宋体" w:hAnsi="宋体"/>
          <w:b/>
          <w:bCs/>
          <w:snapToGrid w:val="0"/>
          <w:spacing w:val="20"/>
          <w:kern w:val="0"/>
          <w:sz w:val="24"/>
          <w:szCs w:val="24"/>
        </w:rPr>
      </w:pPr>
    </w:p>
    <w:p>
      <w:pPr>
        <w:adjustRightInd w:val="0"/>
        <w:snapToGrid w:val="0"/>
        <w:spacing w:line="720" w:lineRule="auto"/>
        <w:jc w:val="center"/>
        <w:rPr>
          <w:rFonts w:ascii="宋体" w:hAnsi="宋体"/>
          <w:snapToGrid w:val="0"/>
          <w:kern w:val="0"/>
          <w:sz w:val="28"/>
          <w:szCs w:val="28"/>
        </w:rPr>
      </w:pPr>
      <w:r>
        <w:rPr>
          <w:rFonts w:hint="eastAsia" w:ascii="宋体" w:hAnsi="宋体"/>
          <w:snapToGrid w:val="0"/>
          <w:kern w:val="0"/>
          <w:sz w:val="28"/>
          <w:szCs w:val="28"/>
        </w:rPr>
        <w:t>磋商供应商：供应商单位全称</w:t>
      </w:r>
    </w:p>
    <w:p>
      <w:pPr>
        <w:snapToGrid w:val="0"/>
        <w:spacing w:line="720" w:lineRule="auto"/>
        <w:jc w:val="center"/>
        <w:rPr>
          <w:rFonts w:ascii="宋体" w:hAnsi="宋体"/>
          <w:snapToGrid w:val="0"/>
          <w:kern w:val="0"/>
          <w:sz w:val="28"/>
          <w:szCs w:val="28"/>
        </w:rPr>
      </w:pPr>
      <w:r>
        <w:rPr>
          <w:rFonts w:hint="eastAsia" w:ascii="宋体" w:hAnsi="宋体"/>
          <w:snapToGrid w:val="0"/>
          <w:kern w:val="0"/>
          <w:sz w:val="28"/>
          <w:szCs w:val="28"/>
        </w:rPr>
        <w:t>二O二二年   月     日</w:t>
      </w:r>
    </w:p>
    <w:p>
      <w:pPr>
        <w:widowControl/>
        <w:snapToGrid w:val="0"/>
        <w:spacing w:line="460" w:lineRule="exact"/>
        <w:jc w:val="left"/>
        <w:rPr>
          <w:rFonts w:ascii="宋体"/>
          <w:b/>
          <w:bCs/>
          <w:color w:val="000000"/>
          <w:sz w:val="28"/>
          <w:szCs w:val="28"/>
        </w:rPr>
      </w:pPr>
    </w:p>
    <w:p>
      <w:pPr>
        <w:snapToGrid w:val="0"/>
        <w:spacing w:line="520" w:lineRule="exact"/>
        <w:jc w:val="center"/>
        <w:outlineLvl w:val="3"/>
        <w:rPr>
          <w:rFonts w:ascii="宋体"/>
          <w:b/>
          <w:bCs/>
          <w:color w:val="000000"/>
          <w:sz w:val="28"/>
          <w:szCs w:val="28"/>
        </w:rPr>
      </w:pPr>
      <w:r>
        <w:rPr>
          <w:rFonts w:ascii="宋体" w:hAnsi="宋体" w:cs="宋体"/>
          <w:b/>
          <w:bCs/>
          <w:color w:val="000000"/>
          <w:sz w:val="28"/>
          <w:szCs w:val="28"/>
        </w:rPr>
        <w:t>1</w:t>
      </w:r>
      <w:r>
        <w:rPr>
          <w:rFonts w:hint="eastAsia" w:ascii="宋体" w:hAnsi="宋体" w:cs="宋体"/>
          <w:b/>
          <w:bCs/>
          <w:color w:val="000000"/>
          <w:sz w:val="28"/>
          <w:szCs w:val="28"/>
        </w:rPr>
        <w:t>、法定代表人身份证明</w:t>
      </w:r>
    </w:p>
    <w:p>
      <w:pPr>
        <w:snapToGrid w:val="0"/>
        <w:spacing w:line="520" w:lineRule="exact"/>
        <w:jc w:val="center"/>
        <w:rPr>
          <w:rFonts w:ascii="宋体"/>
          <w:color w:val="000000"/>
          <w:sz w:val="24"/>
          <w:szCs w:val="24"/>
        </w:rPr>
      </w:pPr>
      <w:r>
        <w:rPr>
          <w:rFonts w:hint="eastAsia" w:ascii="宋体" w:hAnsi="宋体" w:cs="宋体"/>
          <w:color w:val="000000"/>
          <w:sz w:val="24"/>
          <w:szCs w:val="24"/>
        </w:rPr>
        <w:t>（如法定代表人参加磋商，须出示此证明）</w:t>
      </w:r>
    </w:p>
    <w:p>
      <w:pPr>
        <w:snapToGrid w:val="0"/>
        <w:spacing w:line="520" w:lineRule="exact"/>
        <w:jc w:val="center"/>
        <w:rPr>
          <w:rFonts w:ascii="宋体"/>
          <w:color w:val="000000"/>
          <w:sz w:val="24"/>
          <w:szCs w:val="24"/>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420" w:lineRule="exact"/>
        <w:ind w:firstLine="484" w:firstLineChars="202"/>
        <w:jc w:val="left"/>
        <w:rPr>
          <w:rFonts w:ascii="宋体" w:hAnsi="宋体"/>
          <w:snapToGrid w:val="0"/>
          <w:kern w:val="0"/>
          <w:sz w:val="24"/>
          <w:szCs w:val="24"/>
        </w:rPr>
      </w:pPr>
      <w:r>
        <w:rPr>
          <w:rFonts w:hint="eastAsia" w:ascii="宋体" w:hAnsi="宋体"/>
          <w:bCs/>
          <w:snapToGrid w:val="0"/>
          <w:kern w:val="0"/>
          <w:sz w:val="24"/>
          <w:szCs w:val="24"/>
          <w:u w:val="single"/>
        </w:rPr>
        <w:t xml:space="preserve">  　　　　　　　</w:t>
      </w:r>
      <w:r>
        <w:rPr>
          <w:rFonts w:hint="eastAsia" w:ascii="宋体" w:hAnsi="宋体"/>
          <w:bCs/>
          <w:snapToGrid w:val="0"/>
          <w:kern w:val="0"/>
          <w:sz w:val="24"/>
          <w:szCs w:val="24"/>
        </w:rPr>
        <w:t>先生／女士，现任</w:t>
      </w:r>
      <w:r>
        <w:rPr>
          <w:rFonts w:hint="eastAsia" w:ascii="宋体" w:hAnsi="宋体"/>
          <w:bCs/>
          <w:snapToGrid w:val="0"/>
          <w:kern w:val="0"/>
          <w:sz w:val="24"/>
          <w:szCs w:val="24"/>
          <w:u w:val="single"/>
        </w:rPr>
        <w:t xml:space="preserve">          　　　　  （单位名称）</w:t>
      </w:r>
      <w:r>
        <w:rPr>
          <w:rFonts w:hint="eastAsia" w:ascii="宋体" w:hAnsi="宋体"/>
          <w:bCs/>
          <w:snapToGrid w:val="0"/>
          <w:kern w:val="0"/>
          <w:sz w:val="24"/>
          <w:szCs w:val="24"/>
        </w:rPr>
        <w:t>，职务为法定代表人，特此证明。</w:t>
      </w:r>
    </w:p>
    <w:p>
      <w:pPr>
        <w:snapToGrid w:val="0"/>
        <w:spacing w:line="420" w:lineRule="exact"/>
        <w:ind w:firstLine="424" w:firstLineChars="177"/>
        <w:jc w:val="left"/>
        <w:rPr>
          <w:rFonts w:ascii="宋体" w:hAnsi="宋体"/>
          <w:snapToGrid w:val="0"/>
          <w:kern w:val="0"/>
          <w:sz w:val="24"/>
          <w:szCs w:val="24"/>
          <w:u w:val="single"/>
        </w:rPr>
      </w:pPr>
      <w:r>
        <w:rPr>
          <w:rFonts w:hint="eastAsia" w:ascii="宋体" w:hAnsi="宋体"/>
          <w:snapToGrid w:val="0"/>
          <w:kern w:val="0"/>
          <w:sz w:val="24"/>
          <w:szCs w:val="24"/>
        </w:rPr>
        <w:t>身份证号码：</w:t>
      </w:r>
      <w:r>
        <w:rPr>
          <w:rFonts w:hint="eastAsia" w:ascii="宋体" w:hAnsi="宋体"/>
          <w:bCs/>
          <w:snapToGrid w:val="0"/>
          <w:kern w:val="0"/>
          <w:sz w:val="24"/>
          <w:szCs w:val="24"/>
          <w:u w:val="single"/>
        </w:rPr>
        <w:t xml:space="preserve">        　　　　          　　　　  </w:t>
      </w:r>
    </w:p>
    <w:p>
      <w:pPr>
        <w:snapToGrid w:val="0"/>
        <w:spacing w:line="420" w:lineRule="exact"/>
        <w:ind w:firstLine="424" w:firstLineChars="177"/>
        <w:jc w:val="left"/>
        <w:rPr>
          <w:rFonts w:ascii="宋体" w:hAnsi="宋体"/>
          <w:snapToGrid w:val="0"/>
          <w:kern w:val="0"/>
          <w:sz w:val="24"/>
          <w:szCs w:val="24"/>
          <w:u w:val="single"/>
        </w:rPr>
      </w:pPr>
    </w:p>
    <w:p>
      <w:pPr>
        <w:snapToGrid w:val="0"/>
        <w:spacing w:line="420" w:lineRule="exact"/>
        <w:ind w:firstLine="424" w:firstLineChars="177"/>
        <w:jc w:val="left"/>
        <w:rPr>
          <w:rFonts w:ascii="宋体" w:hAnsi="宋体"/>
          <w:snapToGrid w:val="0"/>
          <w:kern w:val="0"/>
          <w:sz w:val="24"/>
          <w:szCs w:val="24"/>
          <w:u w:val="single"/>
        </w:rPr>
      </w:pPr>
    </w:p>
    <w:p>
      <w:pPr>
        <w:snapToGrid w:val="0"/>
        <w:spacing w:line="420" w:lineRule="exact"/>
        <w:ind w:firstLine="424" w:firstLineChars="177"/>
        <w:jc w:val="left"/>
        <w:rPr>
          <w:rFonts w:ascii="宋体" w:hAnsi="宋体"/>
          <w:snapToGrid w:val="0"/>
          <w:kern w:val="0"/>
          <w:sz w:val="24"/>
          <w:szCs w:val="24"/>
          <w:u w:val="single"/>
        </w:rPr>
      </w:pPr>
    </w:p>
    <w:p>
      <w:pPr>
        <w:spacing w:line="600" w:lineRule="exact"/>
        <w:rPr>
          <w:rFonts w:ascii="宋体" w:hAnsi="宋体"/>
          <w:snapToGrid w:val="0"/>
          <w:sz w:val="24"/>
          <w:szCs w:val="24"/>
        </w:rPr>
      </w:pP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both"/>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hint="eastAsia"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hint="eastAsia"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rPr>
          <w:rFonts w:hint="eastAsia" w:cs="宋体"/>
          <w:sz w:val="24"/>
          <w:szCs w:val="24"/>
        </w:rPr>
      </w:pPr>
      <w:r>
        <w:rPr>
          <w:rFonts w:hint="eastAsia" w:cs="宋体"/>
          <w:sz w:val="24"/>
          <w:szCs w:val="24"/>
        </w:rPr>
        <w:br w:type="page"/>
      </w:r>
    </w:p>
    <w:p>
      <w:pPr>
        <w:snapToGrid w:val="0"/>
        <w:spacing w:line="520" w:lineRule="exact"/>
        <w:jc w:val="center"/>
        <w:outlineLvl w:val="3"/>
        <w:rPr>
          <w:rFonts w:ascii="宋体"/>
          <w:b/>
          <w:bCs/>
          <w:sz w:val="28"/>
          <w:szCs w:val="28"/>
        </w:rPr>
      </w:pP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20"/>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pacing w:line="480" w:lineRule="exact"/>
        <w:ind w:left="-630" w:leftChars="-300" w:firstLine="525" w:firstLineChars="219"/>
        <w:jc w:val="center"/>
        <w:rPr>
          <w:rFonts w:ascii="宋体" w:hAnsi="宋体"/>
          <w:b/>
          <w:bCs/>
          <w:snapToGrid w:val="0"/>
          <w:kern w:val="0"/>
          <w:sz w:val="32"/>
          <w:szCs w:val="32"/>
        </w:rPr>
      </w:pPr>
      <w:r>
        <w:rPr>
          <w:rFonts w:hint="eastAsia" w:cs="宋体"/>
          <w:sz w:val="24"/>
          <w:szCs w:val="24"/>
        </w:rPr>
        <w:t>注：如为被委托受权人参加项目竞争性磋商响应，须将身份证原件带至竞争性磋商现场备查。</w:t>
      </w:r>
      <w:r>
        <w:br w:type="page"/>
      </w:r>
      <w:r>
        <w:rPr>
          <w:rFonts w:hint="eastAsia" w:ascii="宋体" w:hAnsi="宋体"/>
          <w:b/>
          <w:bCs/>
          <w:snapToGrid w:val="0"/>
          <w:kern w:val="0"/>
          <w:sz w:val="32"/>
          <w:szCs w:val="32"/>
        </w:rPr>
        <w:t>3、供应商一般情况表</w:t>
      </w:r>
    </w:p>
    <w:tbl>
      <w:tblPr>
        <w:tblStyle w:val="5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484"/>
        <w:gridCol w:w="75"/>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vAlign w:val="center"/>
          </w:tcPr>
          <w:p>
            <w:pPr>
              <w:tabs>
                <w:tab w:val="left" w:pos="993"/>
              </w:tabs>
              <w:spacing w:line="520" w:lineRule="exact"/>
              <w:jc w:val="center"/>
              <w:rPr>
                <w:rFonts w:ascii="宋体" w:hAnsi="宋体" w:cs="宋体"/>
                <w:sz w:val="24"/>
                <w:szCs w:val="24"/>
              </w:rPr>
            </w:pPr>
            <w:r>
              <w:rPr>
                <w:rFonts w:hint="eastAsia" w:ascii="宋体" w:hAnsi="宋体" w:cs="宋体"/>
                <w:sz w:val="24"/>
                <w:szCs w:val="24"/>
              </w:rPr>
              <w:t>企业名称</w:t>
            </w:r>
          </w:p>
        </w:tc>
        <w:tc>
          <w:tcPr>
            <w:tcW w:w="7229" w:type="dxa"/>
            <w:gridSpan w:val="8"/>
          </w:tcPr>
          <w:p>
            <w:pPr>
              <w:tabs>
                <w:tab w:val="left" w:pos="993"/>
              </w:tabs>
              <w:spacing w:line="52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宋体" w:hAnsi="宋体" w:cs="宋体"/>
                <w:sz w:val="24"/>
                <w:szCs w:val="24"/>
              </w:rPr>
            </w:pPr>
            <w:r>
              <w:rPr>
                <w:rFonts w:hint="eastAsia" w:ascii="宋体" w:hAnsi="宋体" w:cs="宋体"/>
                <w:sz w:val="24"/>
                <w:szCs w:val="24"/>
              </w:rPr>
              <w:t>总部地址</w:t>
            </w:r>
          </w:p>
        </w:tc>
        <w:tc>
          <w:tcPr>
            <w:tcW w:w="7229" w:type="dxa"/>
            <w:gridSpan w:val="8"/>
          </w:tcPr>
          <w:p>
            <w:pPr>
              <w:tabs>
                <w:tab w:val="left" w:pos="993"/>
              </w:tabs>
              <w:spacing w:line="52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宋体" w:hAnsi="宋体" w:cs="宋体"/>
                <w:sz w:val="24"/>
                <w:szCs w:val="24"/>
              </w:rPr>
            </w:pPr>
            <w:r>
              <w:rPr>
                <w:rFonts w:hint="eastAsia" w:ascii="宋体" w:hAnsi="宋体" w:cs="宋体"/>
                <w:sz w:val="24"/>
                <w:szCs w:val="24"/>
              </w:rPr>
              <w:t>分支机构</w:t>
            </w:r>
          </w:p>
        </w:tc>
        <w:tc>
          <w:tcPr>
            <w:tcW w:w="7229" w:type="dxa"/>
            <w:gridSpan w:val="8"/>
          </w:tcPr>
          <w:p>
            <w:pPr>
              <w:tabs>
                <w:tab w:val="left" w:pos="993"/>
              </w:tabs>
              <w:spacing w:line="52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宋体" w:hAnsi="宋体" w:cs="宋体"/>
                <w:sz w:val="24"/>
                <w:szCs w:val="24"/>
              </w:rPr>
            </w:pPr>
            <w:r>
              <w:rPr>
                <w:rFonts w:hint="eastAsia" w:ascii="宋体" w:hAnsi="宋体" w:cs="宋体"/>
                <w:sz w:val="24"/>
                <w:szCs w:val="24"/>
              </w:rPr>
              <w:t>当地代表处地址</w:t>
            </w:r>
          </w:p>
        </w:tc>
        <w:tc>
          <w:tcPr>
            <w:tcW w:w="7229" w:type="dxa"/>
            <w:gridSpan w:val="8"/>
          </w:tcPr>
          <w:p>
            <w:pPr>
              <w:tabs>
                <w:tab w:val="left" w:pos="993"/>
              </w:tabs>
              <w:spacing w:line="52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ascii="宋体" w:hAnsi="宋体" w:cs="宋体"/>
                <w:sz w:val="24"/>
                <w:szCs w:val="24"/>
              </w:rPr>
            </w:pPr>
            <w:r>
              <w:rPr>
                <w:rFonts w:hint="eastAsia" w:ascii="宋体" w:hAnsi="宋体" w:cs="宋体"/>
                <w:sz w:val="24"/>
                <w:szCs w:val="24"/>
              </w:rPr>
              <w:t>电话</w:t>
            </w:r>
          </w:p>
        </w:tc>
        <w:tc>
          <w:tcPr>
            <w:tcW w:w="2408" w:type="dxa"/>
            <w:gridSpan w:val="3"/>
          </w:tcPr>
          <w:p>
            <w:pPr>
              <w:tabs>
                <w:tab w:val="left" w:pos="993"/>
              </w:tabs>
              <w:spacing w:line="520" w:lineRule="exact"/>
              <w:rPr>
                <w:rFonts w:ascii="宋体" w:hAnsi="宋体" w:cs="宋体"/>
                <w:sz w:val="24"/>
                <w:szCs w:val="24"/>
              </w:rPr>
            </w:pPr>
          </w:p>
        </w:tc>
        <w:tc>
          <w:tcPr>
            <w:tcW w:w="1875" w:type="dxa"/>
            <w:gridSpan w:val="2"/>
          </w:tcPr>
          <w:p>
            <w:pPr>
              <w:tabs>
                <w:tab w:val="left" w:pos="993"/>
              </w:tabs>
              <w:spacing w:line="520" w:lineRule="exact"/>
              <w:jc w:val="center"/>
              <w:rPr>
                <w:rFonts w:ascii="宋体" w:hAnsi="宋体" w:cs="宋体"/>
                <w:sz w:val="24"/>
                <w:szCs w:val="24"/>
              </w:rPr>
            </w:pPr>
            <w:r>
              <w:rPr>
                <w:rFonts w:hint="eastAsia" w:ascii="宋体" w:hAnsi="宋体" w:cs="宋体"/>
                <w:sz w:val="24"/>
                <w:szCs w:val="24"/>
              </w:rPr>
              <w:t>联系人</w:t>
            </w:r>
          </w:p>
        </w:tc>
        <w:tc>
          <w:tcPr>
            <w:tcW w:w="2946" w:type="dxa"/>
            <w:gridSpan w:val="3"/>
          </w:tcPr>
          <w:p>
            <w:pPr>
              <w:tabs>
                <w:tab w:val="left" w:pos="993"/>
              </w:tabs>
              <w:spacing w:line="52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ascii="宋体" w:hAnsi="宋体" w:cs="宋体"/>
                <w:sz w:val="24"/>
                <w:szCs w:val="24"/>
              </w:rPr>
            </w:pPr>
            <w:r>
              <w:rPr>
                <w:rFonts w:hint="eastAsia" w:ascii="宋体" w:hAnsi="宋体" w:cs="宋体"/>
                <w:sz w:val="24"/>
                <w:szCs w:val="24"/>
              </w:rPr>
              <w:t>传真</w:t>
            </w:r>
          </w:p>
        </w:tc>
        <w:tc>
          <w:tcPr>
            <w:tcW w:w="2408" w:type="dxa"/>
            <w:gridSpan w:val="3"/>
          </w:tcPr>
          <w:p>
            <w:pPr>
              <w:tabs>
                <w:tab w:val="left" w:pos="993"/>
              </w:tabs>
              <w:spacing w:line="520" w:lineRule="exact"/>
              <w:rPr>
                <w:rFonts w:ascii="宋体" w:hAnsi="宋体" w:cs="宋体"/>
                <w:sz w:val="24"/>
                <w:szCs w:val="24"/>
              </w:rPr>
            </w:pPr>
          </w:p>
        </w:tc>
        <w:tc>
          <w:tcPr>
            <w:tcW w:w="1875" w:type="dxa"/>
            <w:gridSpan w:val="2"/>
          </w:tcPr>
          <w:p>
            <w:pPr>
              <w:tabs>
                <w:tab w:val="left" w:pos="993"/>
              </w:tabs>
              <w:spacing w:line="520" w:lineRule="exact"/>
              <w:jc w:val="center"/>
              <w:rPr>
                <w:rFonts w:ascii="宋体" w:hAnsi="宋体" w:cs="宋体"/>
                <w:sz w:val="24"/>
                <w:szCs w:val="24"/>
              </w:rPr>
            </w:pPr>
            <w:r>
              <w:rPr>
                <w:rFonts w:hint="eastAsia" w:ascii="宋体" w:hAnsi="宋体" w:cs="宋体"/>
                <w:sz w:val="24"/>
                <w:szCs w:val="24"/>
              </w:rPr>
              <w:t>电子邮件</w:t>
            </w:r>
          </w:p>
        </w:tc>
        <w:tc>
          <w:tcPr>
            <w:tcW w:w="2946" w:type="dxa"/>
            <w:gridSpan w:val="3"/>
          </w:tcPr>
          <w:p>
            <w:pPr>
              <w:tabs>
                <w:tab w:val="left" w:pos="993"/>
              </w:tabs>
              <w:spacing w:line="52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ascii="宋体" w:hAnsi="宋体" w:cs="宋体"/>
                <w:sz w:val="24"/>
                <w:szCs w:val="24"/>
              </w:rPr>
            </w:pPr>
            <w:r>
              <w:rPr>
                <w:rFonts w:hint="eastAsia" w:ascii="宋体" w:hAnsi="宋体" w:cs="宋体"/>
                <w:sz w:val="24"/>
                <w:szCs w:val="24"/>
              </w:rPr>
              <w:t>注册地</w:t>
            </w:r>
          </w:p>
        </w:tc>
        <w:tc>
          <w:tcPr>
            <w:tcW w:w="2408" w:type="dxa"/>
            <w:gridSpan w:val="3"/>
          </w:tcPr>
          <w:p>
            <w:pPr>
              <w:tabs>
                <w:tab w:val="left" w:pos="993"/>
              </w:tabs>
              <w:spacing w:line="520" w:lineRule="exact"/>
              <w:rPr>
                <w:rFonts w:ascii="宋体" w:hAnsi="宋体" w:cs="宋体"/>
                <w:sz w:val="24"/>
                <w:szCs w:val="24"/>
              </w:rPr>
            </w:pPr>
          </w:p>
        </w:tc>
        <w:tc>
          <w:tcPr>
            <w:tcW w:w="1875" w:type="dxa"/>
            <w:gridSpan w:val="2"/>
          </w:tcPr>
          <w:p>
            <w:pPr>
              <w:tabs>
                <w:tab w:val="left" w:pos="993"/>
              </w:tabs>
              <w:spacing w:line="520" w:lineRule="exact"/>
              <w:jc w:val="center"/>
              <w:rPr>
                <w:rFonts w:ascii="宋体" w:hAnsi="宋体" w:cs="宋体"/>
                <w:sz w:val="24"/>
                <w:szCs w:val="24"/>
              </w:rPr>
            </w:pPr>
            <w:r>
              <w:rPr>
                <w:rFonts w:hint="eastAsia" w:ascii="宋体" w:hAnsi="宋体" w:cs="宋体"/>
                <w:sz w:val="24"/>
                <w:szCs w:val="24"/>
              </w:rPr>
              <w:t>注册年份</w:t>
            </w:r>
          </w:p>
        </w:tc>
        <w:tc>
          <w:tcPr>
            <w:tcW w:w="2946" w:type="dxa"/>
            <w:gridSpan w:val="3"/>
          </w:tcPr>
          <w:p>
            <w:pPr>
              <w:tabs>
                <w:tab w:val="left" w:pos="993"/>
              </w:tabs>
              <w:spacing w:line="52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宋体" w:hAnsi="宋体" w:cs="宋体"/>
                <w:sz w:val="24"/>
                <w:szCs w:val="24"/>
              </w:rPr>
            </w:pPr>
            <w:r>
              <w:rPr>
                <w:rFonts w:hint="eastAsia" w:ascii="宋体" w:hAnsi="宋体" w:cs="宋体"/>
                <w:sz w:val="24"/>
                <w:szCs w:val="24"/>
              </w:rPr>
              <w:t>资质等级</w:t>
            </w:r>
          </w:p>
        </w:tc>
        <w:tc>
          <w:tcPr>
            <w:tcW w:w="7229" w:type="dxa"/>
            <w:gridSpan w:val="8"/>
          </w:tcPr>
          <w:p>
            <w:pPr>
              <w:tabs>
                <w:tab w:val="left" w:pos="993"/>
              </w:tabs>
              <w:spacing w:line="520" w:lineRule="exact"/>
              <w:rPr>
                <w:rFonts w:ascii="宋体" w:hAnsi="宋体" w:cs="宋体"/>
                <w:sz w:val="24"/>
                <w:szCs w:val="24"/>
              </w:rPr>
            </w:pPr>
            <w:r>
              <w:rPr>
                <w:rFonts w:hint="eastAsia" w:ascii="宋体" w:hAnsi="宋体" w:cs="宋体"/>
                <w:sz w:val="24"/>
                <w:szCs w:val="24"/>
              </w:rPr>
              <w:t>公司具备的相关资质等级及相应的证书号</w:t>
            </w:r>
          </w:p>
          <w:p>
            <w:pPr>
              <w:tabs>
                <w:tab w:val="left" w:pos="993"/>
              </w:tabs>
              <w:spacing w:line="520" w:lineRule="exact"/>
              <w:rPr>
                <w:rFonts w:ascii="宋体" w:hAnsi="宋体" w:cs="宋体"/>
                <w:sz w:val="24"/>
                <w:szCs w:val="24"/>
              </w:rPr>
            </w:pPr>
            <w:r>
              <w:rPr>
                <w:rFonts w:hint="eastAsia" w:ascii="宋体" w:hAnsi="宋体" w:cs="宋体"/>
                <w:sz w:val="24"/>
                <w:szCs w:val="24"/>
              </w:rPr>
              <w:t>（请附有关证书的复印件</w:t>
            </w:r>
            <w:r>
              <w:rPr>
                <w:rFonts w:hint="eastAsia" w:ascii="宋体" w:hAnsi="宋体"/>
                <w:sz w:val="24"/>
                <w:szCs w:val="24"/>
              </w:rPr>
              <w:t>或扫描打印件</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宋体" w:hAnsi="宋体" w:cs="宋体"/>
                <w:sz w:val="24"/>
                <w:szCs w:val="24"/>
              </w:rPr>
            </w:pPr>
            <w:r>
              <w:rPr>
                <w:rFonts w:hint="eastAsia" w:ascii="宋体" w:hAnsi="宋体" w:cs="宋体"/>
                <w:sz w:val="24"/>
                <w:szCs w:val="24"/>
              </w:rPr>
              <w:t>质量管理体系</w:t>
            </w:r>
          </w:p>
        </w:tc>
        <w:tc>
          <w:tcPr>
            <w:tcW w:w="7229" w:type="dxa"/>
            <w:gridSpan w:val="8"/>
          </w:tcPr>
          <w:p>
            <w:pPr>
              <w:tabs>
                <w:tab w:val="left" w:pos="993"/>
              </w:tabs>
              <w:spacing w:line="520" w:lineRule="exact"/>
              <w:rPr>
                <w:rFonts w:ascii="宋体" w:hAnsi="宋体" w:cs="宋体"/>
                <w:sz w:val="24"/>
                <w:szCs w:val="24"/>
              </w:rPr>
            </w:pPr>
            <w:r>
              <w:rPr>
                <w:rFonts w:hint="eastAsia" w:ascii="宋体" w:hAnsi="宋体" w:cs="宋体"/>
                <w:sz w:val="24"/>
                <w:szCs w:val="24"/>
              </w:rPr>
              <w:t>公司</w:t>
            </w:r>
            <w:r>
              <w:rPr>
                <w:rFonts w:hint="eastAsia" w:ascii="宋体" w:hAnsi="宋体" w:cs="宋体"/>
                <w:sz w:val="24"/>
                <w:szCs w:val="24"/>
                <w:u w:val="single"/>
              </w:rPr>
              <w:t xml:space="preserve">   （是否通过，何种）   </w:t>
            </w:r>
            <w:r>
              <w:rPr>
                <w:rFonts w:hint="eastAsia" w:ascii="宋体" w:hAnsi="宋体" w:cs="宋体"/>
                <w:sz w:val="24"/>
                <w:szCs w:val="24"/>
              </w:rPr>
              <w:t>质量保证体系认证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宋体" w:hAnsi="宋体" w:cs="宋体"/>
                <w:sz w:val="24"/>
                <w:szCs w:val="24"/>
              </w:rPr>
            </w:pPr>
            <w:r>
              <w:rPr>
                <w:rFonts w:hint="eastAsia" w:ascii="宋体" w:hAnsi="宋体" w:cs="宋体"/>
                <w:sz w:val="24"/>
                <w:szCs w:val="24"/>
              </w:rPr>
              <w:t>项目负责人</w:t>
            </w:r>
          </w:p>
        </w:tc>
        <w:tc>
          <w:tcPr>
            <w:tcW w:w="1559" w:type="dxa"/>
            <w:gridSpan w:val="2"/>
          </w:tcPr>
          <w:p>
            <w:pPr>
              <w:tabs>
                <w:tab w:val="left" w:pos="993"/>
              </w:tabs>
              <w:spacing w:line="520" w:lineRule="exact"/>
              <w:jc w:val="center"/>
              <w:rPr>
                <w:rFonts w:ascii="宋体" w:hAnsi="宋体" w:cs="宋体"/>
                <w:sz w:val="24"/>
                <w:szCs w:val="24"/>
              </w:rPr>
            </w:pPr>
          </w:p>
        </w:tc>
        <w:tc>
          <w:tcPr>
            <w:tcW w:w="1417" w:type="dxa"/>
            <w:gridSpan w:val="2"/>
          </w:tcPr>
          <w:p>
            <w:pPr>
              <w:tabs>
                <w:tab w:val="left" w:pos="993"/>
              </w:tabs>
              <w:spacing w:line="520" w:lineRule="exact"/>
              <w:jc w:val="center"/>
              <w:rPr>
                <w:rFonts w:ascii="宋体" w:hAnsi="宋体" w:cs="宋体"/>
                <w:sz w:val="24"/>
                <w:szCs w:val="24"/>
              </w:rPr>
            </w:pPr>
            <w:r>
              <w:rPr>
                <w:rFonts w:hint="eastAsia" w:ascii="宋体" w:hAnsi="宋体" w:cs="宋体"/>
                <w:sz w:val="24"/>
                <w:szCs w:val="24"/>
              </w:rPr>
              <w:t>年龄</w:t>
            </w:r>
          </w:p>
        </w:tc>
        <w:tc>
          <w:tcPr>
            <w:tcW w:w="1466" w:type="dxa"/>
            <w:gridSpan w:val="2"/>
          </w:tcPr>
          <w:p>
            <w:pPr>
              <w:tabs>
                <w:tab w:val="left" w:pos="993"/>
              </w:tabs>
              <w:spacing w:line="520" w:lineRule="exact"/>
              <w:jc w:val="center"/>
              <w:rPr>
                <w:rFonts w:ascii="宋体" w:hAnsi="宋体" w:cs="宋体"/>
                <w:sz w:val="24"/>
                <w:szCs w:val="24"/>
              </w:rPr>
            </w:pPr>
          </w:p>
        </w:tc>
        <w:tc>
          <w:tcPr>
            <w:tcW w:w="1320" w:type="dxa"/>
          </w:tcPr>
          <w:p>
            <w:pPr>
              <w:tabs>
                <w:tab w:val="left" w:pos="993"/>
              </w:tabs>
              <w:spacing w:line="520" w:lineRule="exact"/>
              <w:jc w:val="center"/>
              <w:rPr>
                <w:rFonts w:ascii="宋体" w:hAnsi="宋体" w:cs="宋体"/>
                <w:sz w:val="24"/>
                <w:szCs w:val="24"/>
              </w:rPr>
            </w:pPr>
            <w:r>
              <w:rPr>
                <w:rFonts w:hint="eastAsia" w:ascii="宋体" w:hAnsi="宋体" w:cs="宋体"/>
                <w:sz w:val="24"/>
                <w:szCs w:val="24"/>
              </w:rPr>
              <w:t>性别</w:t>
            </w:r>
          </w:p>
        </w:tc>
        <w:tc>
          <w:tcPr>
            <w:tcW w:w="1467" w:type="dxa"/>
          </w:tcPr>
          <w:p>
            <w:pPr>
              <w:tabs>
                <w:tab w:val="left" w:pos="993"/>
              </w:tabs>
              <w:spacing w:line="52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宋体" w:hAnsi="宋体" w:cs="宋体"/>
                <w:sz w:val="24"/>
                <w:szCs w:val="24"/>
              </w:rPr>
            </w:pPr>
            <w:r>
              <w:rPr>
                <w:rFonts w:hint="eastAsia" w:ascii="宋体" w:hAnsi="宋体" w:cs="宋体"/>
                <w:sz w:val="24"/>
                <w:szCs w:val="24"/>
              </w:rPr>
              <w:t>职务职称</w:t>
            </w:r>
          </w:p>
        </w:tc>
        <w:tc>
          <w:tcPr>
            <w:tcW w:w="2976" w:type="dxa"/>
            <w:gridSpan w:val="4"/>
          </w:tcPr>
          <w:p>
            <w:pPr>
              <w:tabs>
                <w:tab w:val="left" w:pos="993"/>
              </w:tabs>
              <w:spacing w:line="520" w:lineRule="exact"/>
              <w:rPr>
                <w:rFonts w:ascii="宋体" w:hAnsi="宋体" w:cs="宋体"/>
                <w:sz w:val="24"/>
                <w:szCs w:val="24"/>
              </w:rPr>
            </w:pPr>
          </w:p>
        </w:tc>
        <w:tc>
          <w:tcPr>
            <w:tcW w:w="1466" w:type="dxa"/>
            <w:gridSpan w:val="2"/>
          </w:tcPr>
          <w:p>
            <w:pPr>
              <w:tabs>
                <w:tab w:val="left" w:pos="993"/>
              </w:tabs>
              <w:spacing w:line="520" w:lineRule="exact"/>
              <w:jc w:val="center"/>
              <w:rPr>
                <w:rFonts w:ascii="宋体" w:hAnsi="宋体" w:cs="宋体"/>
                <w:sz w:val="24"/>
                <w:szCs w:val="24"/>
              </w:rPr>
            </w:pPr>
            <w:r>
              <w:rPr>
                <w:rFonts w:hint="eastAsia" w:ascii="宋体" w:hAnsi="宋体" w:cs="宋体"/>
                <w:sz w:val="24"/>
                <w:szCs w:val="24"/>
              </w:rPr>
              <w:t>电话</w:t>
            </w:r>
          </w:p>
        </w:tc>
        <w:tc>
          <w:tcPr>
            <w:tcW w:w="2787" w:type="dxa"/>
            <w:gridSpan w:val="2"/>
          </w:tcPr>
          <w:p>
            <w:pPr>
              <w:tabs>
                <w:tab w:val="left" w:pos="993"/>
              </w:tabs>
              <w:spacing w:line="52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jc w:val="center"/>
        </w:trPr>
        <w:tc>
          <w:tcPr>
            <w:tcW w:w="2235" w:type="dxa"/>
            <w:vAlign w:val="center"/>
          </w:tcPr>
          <w:p>
            <w:pPr>
              <w:tabs>
                <w:tab w:val="left" w:pos="993"/>
              </w:tabs>
              <w:spacing w:line="520" w:lineRule="exact"/>
              <w:jc w:val="center"/>
              <w:rPr>
                <w:rFonts w:ascii="宋体" w:hAnsi="宋体" w:cs="宋体"/>
                <w:sz w:val="24"/>
                <w:szCs w:val="24"/>
              </w:rPr>
            </w:pPr>
            <w:r>
              <w:rPr>
                <w:rFonts w:hint="eastAsia" w:ascii="宋体" w:hAnsi="宋体" w:cs="宋体"/>
                <w:sz w:val="24"/>
                <w:szCs w:val="24"/>
              </w:rPr>
              <w:t>经营范围</w:t>
            </w:r>
          </w:p>
        </w:tc>
        <w:tc>
          <w:tcPr>
            <w:tcW w:w="7229" w:type="dxa"/>
            <w:gridSpan w:val="8"/>
          </w:tcPr>
          <w:p>
            <w:pPr>
              <w:tabs>
                <w:tab w:val="left" w:pos="993"/>
              </w:tabs>
              <w:spacing w:line="520" w:lineRule="exact"/>
              <w:rPr>
                <w:rFonts w:ascii="宋体" w:hAnsi="宋体" w:cs="宋体"/>
                <w:sz w:val="24"/>
                <w:szCs w:val="24"/>
              </w:rPr>
            </w:pPr>
            <w:r>
              <w:rPr>
                <w:rFonts w:hint="eastAsia" w:ascii="宋体" w:hAnsi="宋体" w:cs="宋体"/>
                <w:sz w:val="24"/>
                <w:szCs w:val="24"/>
              </w:rPr>
              <w:t>营业执照载明：</w:t>
            </w:r>
          </w:p>
          <w:p>
            <w:pPr>
              <w:tabs>
                <w:tab w:val="left" w:pos="993"/>
              </w:tabs>
              <w:spacing w:line="520" w:lineRule="exact"/>
              <w:rPr>
                <w:rFonts w:ascii="宋体" w:hAnsi="宋体" w:cs="宋体"/>
                <w:sz w:val="24"/>
                <w:szCs w:val="24"/>
                <w:u w:val="single"/>
              </w:rPr>
            </w:pPr>
            <w:r>
              <w:rPr>
                <w:rFonts w:hint="eastAsia" w:ascii="宋体" w:hAnsi="宋体" w:cs="宋体"/>
                <w:sz w:val="24"/>
                <w:szCs w:val="24"/>
              </w:rPr>
              <w:t>1.</w:t>
            </w:r>
          </w:p>
          <w:p>
            <w:pPr>
              <w:tabs>
                <w:tab w:val="left" w:pos="993"/>
              </w:tabs>
              <w:spacing w:line="520" w:lineRule="exact"/>
              <w:rPr>
                <w:rFonts w:ascii="宋体" w:hAnsi="宋体" w:cs="宋体"/>
                <w:sz w:val="24"/>
                <w:szCs w:val="24"/>
                <w:u w:val="single"/>
              </w:rPr>
            </w:pPr>
            <w:r>
              <w:rPr>
                <w:rFonts w:hint="eastAsia" w:ascii="宋体" w:hAnsi="宋体" w:cs="宋体"/>
                <w:sz w:val="24"/>
                <w:szCs w:val="24"/>
              </w:rPr>
              <w:t>2.</w:t>
            </w:r>
          </w:p>
          <w:p>
            <w:pPr>
              <w:tabs>
                <w:tab w:val="left" w:pos="993"/>
              </w:tabs>
              <w:spacing w:line="520" w:lineRule="exact"/>
              <w:rPr>
                <w:rFonts w:ascii="宋体" w:hAnsi="宋体" w:cs="宋体"/>
                <w:sz w:val="24"/>
                <w:szCs w:val="24"/>
                <w:u w:val="single"/>
              </w:rPr>
            </w:pPr>
            <w:r>
              <w:rPr>
                <w:rFonts w:hint="eastAsia" w:ascii="宋体" w:hAnsi="宋体" w:cs="宋体"/>
                <w:sz w:val="24"/>
                <w:szCs w:val="24"/>
              </w:rPr>
              <w:t>3.</w:t>
            </w:r>
          </w:p>
          <w:p>
            <w:pPr>
              <w:tabs>
                <w:tab w:val="left" w:pos="993"/>
              </w:tabs>
              <w:spacing w:line="520" w:lineRule="exact"/>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719" w:type="dxa"/>
            <w:gridSpan w:val="2"/>
            <w:vAlign w:val="center"/>
          </w:tcPr>
          <w:p>
            <w:pPr>
              <w:tabs>
                <w:tab w:val="left" w:pos="993"/>
              </w:tabs>
              <w:spacing w:line="520" w:lineRule="exact"/>
              <w:rPr>
                <w:rFonts w:ascii="宋体" w:hAnsi="宋体" w:cs="宋体"/>
                <w:sz w:val="24"/>
                <w:szCs w:val="24"/>
              </w:rPr>
            </w:pPr>
            <w:r>
              <w:rPr>
                <w:rFonts w:hint="eastAsia" w:ascii="宋体" w:hAnsi="宋体" w:cs="宋体"/>
                <w:sz w:val="24"/>
                <w:szCs w:val="24"/>
              </w:rPr>
              <w:t>从事类似相关项目的经历及年数</w:t>
            </w:r>
          </w:p>
        </w:tc>
        <w:tc>
          <w:tcPr>
            <w:tcW w:w="5745" w:type="dxa"/>
            <w:gridSpan w:val="7"/>
          </w:tcPr>
          <w:p>
            <w:pPr>
              <w:tabs>
                <w:tab w:val="left" w:pos="993"/>
              </w:tabs>
              <w:spacing w:line="52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719" w:type="dxa"/>
            <w:gridSpan w:val="2"/>
            <w:vAlign w:val="center"/>
          </w:tcPr>
          <w:p>
            <w:pPr>
              <w:tabs>
                <w:tab w:val="left" w:pos="993"/>
              </w:tabs>
              <w:rPr>
                <w:rFonts w:ascii="宋体" w:hAnsi="宋体" w:cs="宋体"/>
                <w:sz w:val="24"/>
                <w:szCs w:val="24"/>
              </w:rPr>
            </w:pPr>
            <w:r>
              <w:rPr>
                <w:rFonts w:hint="eastAsia" w:ascii="宋体" w:hAnsi="宋体" w:cs="宋体"/>
                <w:sz w:val="24"/>
                <w:szCs w:val="24"/>
              </w:rPr>
              <w:t>其他认为有必要提供的内容，可自行添加</w:t>
            </w:r>
          </w:p>
        </w:tc>
        <w:tc>
          <w:tcPr>
            <w:tcW w:w="5745" w:type="dxa"/>
            <w:gridSpan w:val="7"/>
          </w:tcPr>
          <w:p>
            <w:pPr>
              <w:tabs>
                <w:tab w:val="left" w:pos="993"/>
              </w:tabs>
              <w:spacing w:line="520" w:lineRule="exact"/>
              <w:rPr>
                <w:rFonts w:ascii="宋体" w:hAnsi="宋体" w:cs="宋体"/>
                <w:sz w:val="24"/>
                <w:szCs w:val="24"/>
              </w:rPr>
            </w:pPr>
          </w:p>
        </w:tc>
      </w:tr>
    </w:tbl>
    <w:p>
      <w:pPr>
        <w:snapToGrid w:val="0"/>
        <w:spacing w:line="520" w:lineRule="exact"/>
        <w:ind w:left="-630" w:leftChars="-300" w:firstLine="525" w:firstLineChars="219"/>
        <w:rPr>
          <w:rFonts w:ascii="宋体" w:hAnsi="宋体" w:cs="宋体"/>
          <w:bCs/>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right="79" w:firstLine="4560" w:firstLineChars="1900"/>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pStyle w:val="20"/>
        <w:keepNext w:val="0"/>
        <w:keepLines w:val="0"/>
        <w:pageBreakBefore w:val="0"/>
        <w:widowControl w:val="0"/>
        <w:kinsoku/>
        <w:wordWrap/>
        <w:overflowPunct/>
        <w:topLinePunct w:val="0"/>
        <w:autoSpaceDE/>
        <w:autoSpaceDN/>
        <w:bidi w:val="0"/>
        <w:adjustRightInd/>
        <w:snapToGrid w:val="0"/>
        <w:spacing w:line="360" w:lineRule="auto"/>
        <w:ind w:right="415" w:firstLine="4564" w:firstLineChars="1902"/>
        <w:textAlignment w:val="baseline"/>
        <w:rPr>
          <w:rFonts w:ascii="宋体" w:hAnsi="宋体" w:cs="宋体"/>
          <w:szCs w:val="24"/>
        </w:rPr>
      </w:pPr>
      <w:r>
        <w:rPr>
          <w:rFonts w:hint="eastAsia" w:ascii="宋体" w:hAnsi="宋体" w:cs="宋体"/>
          <w:color w:val="000000"/>
          <w:sz w:val="24"/>
          <w:szCs w:val="24"/>
        </w:rPr>
        <w:t>法定代表人或被授权人：（签字或盖章）</w:t>
      </w:r>
    </w:p>
    <w:p>
      <w:pPr>
        <w:snapToGrid w:val="0"/>
        <w:spacing w:line="520" w:lineRule="exact"/>
        <w:ind w:left="-630" w:leftChars="-300" w:firstLine="459" w:firstLineChars="219"/>
        <w:rPr>
          <w:rFonts w:ascii="宋体" w:hAnsi="宋体" w:cs="宋体"/>
          <w:bCs/>
          <w:sz w:val="24"/>
          <w:szCs w:val="24"/>
        </w:rPr>
      </w:pPr>
      <w:r>
        <w:rPr>
          <w:rFonts w:hint="eastAsia" w:ascii="宋体" w:hAnsi="宋体" w:cs="宋体"/>
          <w:szCs w:val="24"/>
          <w:lang w:val="en-US" w:eastAsia="zh-CN"/>
        </w:rPr>
        <w:t xml:space="preserve">    </w:t>
      </w:r>
      <w:r>
        <w:rPr>
          <w:rFonts w:hint="eastAsia" w:ascii="宋体" w:hAnsi="宋体" w:cs="宋体"/>
          <w:szCs w:val="24"/>
        </w:rPr>
        <w:t xml:space="preserve">     </w:t>
      </w:r>
      <w:r>
        <w:rPr>
          <w:rFonts w:hint="eastAsia" w:ascii="宋体" w:hAnsi="宋体" w:cs="宋体"/>
          <w:szCs w:val="24"/>
          <w:lang w:val="en-US" w:eastAsia="zh-CN"/>
        </w:rPr>
        <w:t xml:space="preserve">                                             </w:t>
      </w:r>
      <w:r>
        <w:rPr>
          <w:rFonts w:hint="eastAsia" w:ascii="宋体" w:hAnsi="宋体" w:cs="宋体"/>
          <w:szCs w:val="24"/>
        </w:rPr>
        <w:t xml:space="preserve"> 年      月     日</w:t>
      </w:r>
    </w:p>
    <w:p>
      <w:pPr>
        <w:spacing w:line="360" w:lineRule="auto"/>
        <w:jc w:val="center"/>
        <w:rPr>
          <w:rFonts w:ascii="宋体" w:hAnsi="宋体" w:cs="宋体"/>
          <w:b/>
          <w:bCs/>
          <w:snapToGrid w:val="0"/>
          <w:kern w:val="0"/>
          <w:sz w:val="32"/>
          <w:szCs w:val="32"/>
        </w:rPr>
      </w:pPr>
    </w:p>
    <w:p>
      <w:pPr>
        <w:spacing w:line="360" w:lineRule="auto"/>
        <w:jc w:val="center"/>
        <w:rPr>
          <w:rFonts w:ascii="宋体" w:hAnsi="宋体" w:cs="宋体"/>
          <w:b/>
          <w:bCs/>
          <w:color w:val="000000"/>
          <w:sz w:val="28"/>
          <w:szCs w:val="28"/>
        </w:rPr>
      </w:pPr>
    </w:p>
    <w:p>
      <w:pPr>
        <w:spacing w:line="360" w:lineRule="auto"/>
        <w:jc w:val="center"/>
        <w:rPr>
          <w:rFonts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pacing w:line="360" w:lineRule="auto"/>
        <w:rPr>
          <w:rFonts w:ascii="宋体" w:hAnsi="宋体"/>
          <w:color w:val="000000"/>
          <w:sz w:val="24"/>
          <w:szCs w:val="24"/>
        </w:rPr>
      </w:pPr>
    </w:p>
    <w:p>
      <w:pPr>
        <w:snapToGrid w:val="0"/>
        <w:spacing w:line="360" w:lineRule="auto"/>
        <w:textAlignment w:val="baseline"/>
        <w:rPr>
          <w:rFonts w:ascii="宋体" w:hAnsi="宋体"/>
          <w:color w:val="000000"/>
          <w:sz w:val="24"/>
          <w:szCs w:val="24"/>
        </w:rPr>
      </w:pPr>
      <w:r>
        <w:rPr>
          <w:rFonts w:hint="eastAsia" w:ascii="宋体" w:hAnsi="宋体" w:cs="宋体"/>
          <w:sz w:val="24"/>
          <w:szCs w:val="24"/>
          <w:u w:val="single"/>
        </w:rPr>
        <w:t>南通市妇幼保健院</w:t>
      </w:r>
      <w:r>
        <w:rPr>
          <w:rFonts w:hint="eastAsia" w:ascii="宋体" w:hAnsi="宋体" w:cs="宋体"/>
          <w:sz w:val="24"/>
          <w:szCs w:val="24"/>
          <w:u w:val="single" w:color="000000"/>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我单位</w:t>
      </w:r>
      <w:r>
        <w:rPr>
          <w:rFonts w:hint="eastAsia" w:ascii="宋体" w:hAnsi="宋体"/>
          <w:color w:val="000000"/>
          <w:sz w:val="24"/>
          <w:szCs w:val="24"/>
          <w:u w:val="single"/>
        </w:rPr>
        <w:t xml:space="preserve">        （供应商名称）</w:t>
      </w:r>
      <w:r>
        <w:rPr>
          <w:rFonts w:hint="eastAsia" w:ascii="宋体" w:hAnsi="宋体"/>
          <w:color w:val="000000"/>
          <w:sz w:val="24"/>
          <w:szCs w:val="24"/>
        </w:rPr>
        <w:t>郑重声明：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我公司在完全理解本磋商项目的技术要求，商务条款及其他内容后，决定参与该项目的竞争性磋商活动。并声明，如成交，我公司将提供足够的设备和专业技术能力保证合同履行。服务满足竞争性磋商文件中的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6960" w:firstLineChars="2900"/>
        <w:rPr>
          <w:sz w:val="24"/>
          <w:szCs w:val="24"/>
        </w:rPr>
      </w:pPr>
      <w:r>
        <w:rPr>
          <w:sz w:val="24"/>
          <w:szCs w:val="24"/>
        </w:rPr>
        <w:t>声明人：（公章）</w:t>
      </w:r>
    </w:p>
    <w:p>
      <w:pPr>
        <w:spacing w:line="360" w:lineRule="auto"/>
        <w:jc w:val="center"/>
        <w:rPr>
          <w:sz w:val="24"/>
          <w:szCs w:val="24"/>
        </w:rPr>
      </w:pPr>
      <w:r>
        <w:rPr>
          <w:sz w:val="24"/>
          <w:szCs w:val="24"/>
        </w:rPr>
        <w:t xml:space="preserve">                                                  年     月    日</w:t>
      </w:r>
    </w:p>
    <w:p>
      <w:pPr>
        <w:widowControl/>
        <w:jc w:val="left"/>
        <w:rPr>
          <w:rFonts w:ascii="宋体" w:hAnsi="宋体" w:cs="宋体"/>
          <w:b/>
          <w:bCs/>
          <w:color w:val="000000"/>
          <w:sz w:val="28"/>
          <w:szCs w:val="28"/>
        </w:rPr>
      </w:pPr>
      <w:r>
        <w:rPr>
          <w:rFonts w:ascii="宋体" w:hAnsi="宋体" w:cs="宋体"/>
          <w:b/>
          <w:bCs/>
          <w:color w:val="000000"/>
          <w:sz w:val="28"/>
          <w:szCs w:val="28"/>
        </w:rPr>
        <w:br w:type="page"/>
      </w:r>
    </w:p>
    <w:p>
      <w:pPr>
        <w:spacing w:line="360" w:lineRule="auto"/>
        <w:jc w:val="center"/>
        <w:rPr>
          <w:rFonts w:ascii="宋体" w:hAnsi="宋体" w:cs="宋体"/>
          <w:b/>
          <w:bCs/>
          <w:color w:val="000000"/>
          <w:sz w:val="28"/>
          <w:szCs w:val="28"/>
        </w:rPr>
      </w:pPr>
    </w:p>
    <w:p>
      <w:pPr>
        <w:spacing w:line="360" w:lineRule="auto"/>
        <w:jc w:val="center"/>
        <w:rPr>
          <w:rFonts w:ascii="宋体"/>
          <w:b/>
          <w:bCs/>
          <w:color w:val="000000"/>
          <w:sz w:val="28"/>
          <w:szCs w:val="28"/>
        </w:rPr>
      </w:pPr>
      <w:r>
        <w:rPr>
          <w:rFonts w:hint="eastAsia" w:ascii="宋体" w:hAnsi="宋体" w:cs="宋体"/>
          <w:b/>
          <w:bCs/>
          <w:color w:val="000000"/>
          <w:sz w:val="28"/>
          <w:szCs w:val="28"/>
        </w:rPr>
        <w:t>5、无重大违法记录声明</w:t>
      </w:r>
    </w:p>
    <w:p>
      <w:pPr>
        <w:spacing w:line="360" w:lineRule="auto"/>
        <w:rPr>
          <w:rFonts w:ascii="宋体" w:hAnsi="宋体" w:cs="宋体"/>
          <w:sz w:val="24"/>
          <w:szCs w:val="24"/>
          <w:u w:val="single"/>
        </w:rPr>
      </w:pPr>
    </w:p>
    <w:p>
      <w:pPr>
        <w:spacing w:line="360" w:lineRule="auto"/>
        <w:rPr>
          <w:rFonts w:ascii="宋体"/>
          <w:sz w:val="24"/>
          <w:szCs w:val="24"/>
          <w:u w:val="single"/>
        </w:rPr>
      </w:pPr>
      <w:r>
        <w:rPr>
          <w:rFonts w:hint="eastAsia" w:ascii="宋体" w:hAnsi="宋体" w:cs="宋体"/>
          <w:sz w:val="24"/>
          <w:szCs w:val="24"/>
          <w:u w:val="single"/>
        </w:rPr>
        <w:t>南通市妇幼保健院：</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我单位（供应商名称）郑重声明：</w:t>
      </w:r>
    </w:p>
    <w:p>
      <w:pPr>
        <w:snapToGrid w:val="0"/>
        <w:spacing w:line="360" w:lineRule="auto"/>
        <w:ind w:firstLine="480" w:firstLineChars="200"/>
        <w:rPr>
          <w:rFonts w:ascii="宋体"/>
          <w:color w:val="000000"/>
          <w:sz w:val="24"/>
          <w:szCs w:val="24"/>
        </w:rPr>
      </w:pPr>
      <w:r>
        <w:rPr>
          <w:rFonts w:hint="eastAsia" w:ascii="宋体" w:hAnsi="宋体" w:cs="宋体"/>
          <w:color w:val="000000"/>
          <w:sz w:val="24"/>
          <w:szCs w:val="24"/>
        </w:rPr>
        <w:t>参加政府采购活动前</w:t>
      </w:r>
      <w:r>
        <w:rPr>
          <w:rFonts w:ascii="宋体" w:hAnsi="宋体" w:cs="宋体"/>
          <w:color w:val="000000"/>
          <w:sz w:val="24"/>
          <w:szCs w:val="24"/>
        </w:rPr>
        <w:t>3</w:t>
      </w:r>
      <w:r>
        <w:rPr>
          <w:rFonts w:hint="eastAsia" w:ascii="宋体" w:hAnsi="宋体" w:cs="宋体"/>
          <w:color w:val="000000"/>
          <w:sz w:val="24"/>
          <w:szCs w:val="24"/>
        </w:rPr>
        <w:t>年内在经营活动中</w:t>
      </w:r>
      <w:r>
        <w:rPr>
          <w:rFonts w:hint="eastAsia" w:ascii="宋体" w:hAnsi="宋体" w:cs="宋体"/>
          <w:color w:val="000000"/>
          <w:sz w:val="24"/>
          <w:szCs w:val="24"/>
          <w:u w:val="single"/>
        </w:rPr>
        <w:t xml:space="preserve">    </w:t>
      </w:r>
      <w:r>
        <w:rPr>
          <w:rFonts w:hint="eastAsia" w:ascii="宋体" w:hAnsi="宋体" w:cs="宋体"/>
          <w:bCs/>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（在下划线上如实填写：有或没有）重大违法记录。</w:t>
      </w:r>
    </w:p>
    <w:p>
      <w:pPr>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说明：政府采购法第二十二条第一款第五项所称重大违法记录，是指供应商因违法经营受到刑事处罚或者责令停产停业、吊销许可证或者执照、较大数额罚款等行政处罚。</w:t>
      </w:r>
    </w:p>
    <w:p>
      <w:pPr>
        <w:widowControl/>
        <w:adjustRightInd w:val="0"/>
        <w:snapToGrid w:val="0"/>
        <w:spacing w:line="360" w:lineRule="auto"/>
        <w:ind w:firstLine="482"/>
        <w:jc w:val="left"/>
        <w:rPr>
          <w:rFonts w:ascii="宋体" w:hAnsi="宋体" w:cs="宋体"/>
          <w:bCs/>
          <w:color w:val="000000"/>
          <w:kern w:val="0"/>
          <w:sz w:val="24"/>
          <w:szCs w:val="22"/>
        </w:rPr>
      </w:pPr>
      <w:r>
        <w:rPr>
          <w:rFonts w:hint="eastAsia" w:ascii="宋体" w:hAnsi="宋体" w:cs="宋体"/>
          <w:bCs/>
          <w:color w:val="000000"/>
          <w:kern w:val="0"/>
          <w:sz w:val="24"/>
          <w:szCs w:val="22"/>
        </w:rPr>
        <w:t>在磋商响应文件递交</w:t>
      </w:r>
      <w:r>
        <w:rPr>
          <w:rFonts w:hint="eastAsia" w:ascii="宋体" w:hAnsi="宋体" w:cs="宋体"/>
          <w:color w:val="000000"/>
          <w:kern w:val="0"/>
          <w:sz w:val="24"/>
          <w:szCs w:val="24"/>
        </w:rPr>
        <w:t>截止时间时，没有被“信用中国”（www.creditchina.gov.cn）、“中国政府采购网”（www.ccgp.gov.cn）网站列入失信被执行人、重大税收违法案件当事人名单、政府采购严重违法失信行为记录名单。</w:t>
      </w:r>
    </w:p>
    <w:p>
      <w:pPr>
        <w:pStyle w:val="2"/>
      </w:pPr>
    </w:p>
    <w:p>
      <w:pPr>
        <w:spacing w:line="420" w:lineRule="exact"/>
        <w:rPr>
          <w:rFonts w:ascii="宋体"/>
          <w:color w:val="000000"/>
          <w:sz w:val="24"/>
          <w:szCs w:val="24"/>
        </w:rPr>
      </w:pPr>
    </w:p>
    <w:p>
      <w:pPr>
        <w:pStyle w:val="20"/>
      </w:pPr>
    </w:p>
    <w:p>
      <w:pPr>
        <w:pStyle w:val="60"/>
      </w:pPr>
    </w:p>
    <w:p>
      <w:pPr>
        <w:spacing w:line="420" w:lineRule="exact"/>
        <w:ind w:firstLine="6360" w:firstLineChars="2650"/>
        <w:rPr>
          <w:rFonts w:ascii="宋体"/>
          <w:color w:val="000000"/>
          <w:sz w:val="24"/>
          <w:szCs w:val="24"/>
        </w:rPr>
      </w:pPr>
      <w:r>
        <w:rPr>
          <w:rFonts w:hint="eastAsia" w:ascii="宋体" w:hAnsi="宋体" w:cs="宋体"/>
          <w:color w:val="000000"/>
          <w:sz w:val="24"/>
          <w:szCs w:val="24"/>
        </w:rPr>
        <w:t>声明人：（公章）</w:t>
      </w:r>
    </w:p>
    <w:p>
      <w:pPr>
        <w:spacing w:line="420" w:lineRule="exact"/>
        <w:jc w:val="right"/>
        <w:rPr>
          <w:rFonts w:ascii="宋体"/>
          <w:color w:val="000000"/>
          <w:sz w:val="24"/>
          <w:szCs w:val="24"/>
        </w:rPr>
      </w:pPr>
      <w:r>
        <w:rPr>
          <w:rFonts w:hint="eastAsia" w:ascii="宋体" w:hAnsi="宋体" w:cs="宋体"/>
          <w:color w:val="000000"/>
          <w:sz w:val="24"/>
          <w:szCs w:val="24"/>
        </w:rPr>
        <w:t>年   月    日</w:t>
      </w:r>
    </w:p>
    <w:p>
      <w:pPr>
        <w:snapToGrid w:val="0"/>
        <w:spacing w:line="360" w:lineRule="auto"/>
        <w:jc w:val="center"/>
        <w:outlineLvl w:val="4"/>
        <w:rPr>
          <w:rFonts w:ascii="宋体" w:hAnsi="宋体"/>
          <w:snapToGrid w:val="0"/>
          <w:sz w:val="24"/>
          <w:szCs w:val="24"/>
        </w:rPr>
      </w:pPr>
      <w:r>
        <w:rPr>
          <w:rFonts w:ascii="宋体"/>
          <w:b/>
          <w:bCs/>
          <w:color w:val="000000"/>
          <w:sz w:val="28"/>
          <w:szCs w:val="28"/>
        </w:rPr>
        <w:br w:type="page"/>
      </w:r>
    </w:p>
    <w:p>
      <w:pPr>
        <w:snapToGrid w:val="0"/>
        <w:spacing w:line="360" w:lineRule="auto"/>
        <w:jc w:val="center"/>
        <w:outlineLvl w:val="4"/>
        <w:rPr>
          <w:rFonts w:ascii="宋体" w:hAnsi="宋体" w:cs="宋体"/>
          <w:b/>
          <w:bCs/>
          <w:color w:val="000000"/>
          <w:sz w:val="28"/>
          <w:szCs w:val="28"/>
        </w:rPr>
      </w:pPr>
    </w:p>
    <w:p>
      <w:pPr>
        <w:snapToGrid w:val="0"/>
        <w:spacing w:line="360" w:lineRule="auto"/>
        <w:jc w:val="center"/>
        <w:outlineLvl w:val="4"/>
        <w:rPr>
          <w:rFonts w:ascii="宋体"/>
          <w:b/>
          <w:bCs/>
          <w:color w:val="000000"/>
          <w:sz w:val="28"/>
          <w:szCs w:val="28"/>
        </w:rPr>
      </w:pPr>
      <w:r>
        <w:rPr>
          <w:rFonts w:hint="eastAsia" w:ascii="宋体" w:hAnsi="宋体" w:cs="宋体"/>
          <w:b/>
          <w:bCs/>
          <w:color w:val="000000"/>
          <w:sz w:val="28"/>
          <w:szCs w:val="28"/>
        </w:rPr>
        <w:t>6、关于资格文件的声明函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w:t>
      </w:r>
      <w:r>
        <w:rPr>
          <w:rFonts w:hint="eastAsia" w:ascii="宋体" w:hAnsi="宋体" w:cs="宋体"/>
          <w:sz w:val="24"/>
          <w:szCs w:val="24"/>
          <w:u w:val="single"/>
        </w:rPr>
        <w:t xml:space="preserve">                     </w:t>
      </w:r>
      <w:r>
        <w:rPr>
          <w:rFonts w:hint="eastAsia" w:ascii="宋体" w:hAnsi="宋体" w:cs="宋体"/>
          <w:sz w:val="24"/>
          <w:szCs w:val="24"/>
        </w:rPr>
        <w:t>（项目名称及项目编号</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color w:val="000000"/>
          <w:sz w:val="24"/>
          <w:szCs w:val="24"/>
        </w:rPr>
      </w:pPr>
      <w:r>
        <w:rPr>
          <w:rFonts w:hint="eastAsia" w:ascii="宋体" w:hAnsi="宋体" w:cs="宋体"/>
          <w:color w:val="000000"/>
          <w:sz w:val="24"/>
          <w:szCs w:val="24"/>
        </w:rPr>
        <w:t>竞争性磋商响应单位：（加盖公章）</w:t>
      </w:r>
    </w:p>
    <w:p>
      <w:pPr>
        <w:snapToGrid w:val="0"/>
        <w:spacing w:line="520" w:lineRule="exact"/>
        <w:ind w:firstLine="2400" w:firstLineChars="1000"/>
        <w:jc w:val="right"/>
        <w:rPr>
          <w:rFonts w:ascii="宋体"/>
          <w:color w:val="000000"/>
          <w:sz w:val="24"/>
          <w:szCs w:val="24"/>
        </w:rPr>
      </w:pPr>
      <w:r>
        <w:rPr>
          <w:rFonts w:hint="eastAsia" w:ascii="宋体" w:hAnsi="宋体" w:cs="宋体"/>
          <w:color w:val="000000"/>
          <w:sz w:val="24"/>
          <w:szCs w:val="24"/>
        </w:rPr>
        <w:t>法定代表人或被授权人：（签字或盖章）</w:t>
      </w:r>
    </w:p>
    <w:p>
      <w:pPr>
        <w:snapToGrid w:val="0"/>
        <w:spacing w:line="520" w:lineRule="exact"/>
        <w:jc w:val="right"/>
        <w:rPr>
          <w:rFonts w:ascii="宋体"/>
          <w:color w:val="000000"/>
          <w:sz w:val="24"/>
          <w:szCs w:val="24"/>
        </w:rPr>
      </w:pPr>
      <w:r>
        <w:rPr>
          <w:rFonts w:hint="eastAsia" w:ascii="宋体" w:hAnsi="宋体"/>
          <w:snapToGrid w:val="0"/>
          <w:kern w:val="0"/>
          <w:sz w:val="24"/>
          <w:szCs w:val="24"/>
          <w:u w:val="single"/>
        </w:rPr>
        <w:t xml:space="preserve">        </w:t>
      </w:r>
      <w:r>
        <w:rPr>
          <w:rFonts w:hint="eastAsia" w:ascii="宋体" w:hAnsi="宋体" w:cs="宋体"/>
          <w:color w:val="000000"/>
          <w:sz w:val="24"/>
          <w:szCs w:val="24"/>
        </w:rPr>
        <w:t>年</w:t>
      </w:r>
      <w:r>
        <w:rPr>
          <w:rFonts w:hint="eastAsia" w:ascii="宋体" w:hAnsi="宋体"/>
          <w:snapToGrid w:val="0"/>
          <w:kern w:val="0"/>
          <w:sz w:val="24"/>
          <w:szCs w:val="24"/>
          <w:u w:val="single"/>
        </w:rPr>
        <w:t xml:space="preserve">        </w:t>
      </w:r>
      <w:r>
        <w:rPr>
          <w:rFonts w:hint="eastAsia" w:ascii="宋体" w:hAnsi="宋体" w:cs="宋体"/>
          <w:color w:val="000000"/>
          <w:sz w:val="24"/>
          <w:szCs w:val="24"/>
        </w:rPr>
        <w:t>月</w:t>
      </w:r>
      <w:r>
        <w:rPr>
          <w:rFonts w:hint="eastAsia" w:ascii="宋体" w:hAnsi="宋体"/>
          <w:snapToGrid w:val="0"/>
          <w:kern w:val="0"/>
          <w:sz w:val="24"/>
          <w:szCs w:val="24"/>
          <w:u w:val="single"/>
        </w:rPr>
        <w:t xml:space="preserve">        </w:t>
      </w:r>
      <w:r>
        <w:rPr>
          <w:rFonts w:hint="eastAsia" w:ascii="宋体" w:hAnsi="宋体" w:cs="宋体"/>
          <w:color w:val="000000"/>
          <w:sz w:val="24"/>
          <w:szCs w:val="24"/>
        </w:rPr>
        <w:t>日</w:t>
      </w:r>
    </w:p>
    <w:p>
      <w:pPr>
        <w:snapToGrid w:val="0"/>
        <w:spacing w:line="520" w:lineRule="exact"/>
        <w:jc w:val="center"/>
        <w:outlineLvl w:val="3"/>
        <w:rPr>
          <w:rFonts w:ascii="宋体"/>
          <w:b/>
          <w:bCs/>
          <w:color w:val="000000"/>
          <w:sz w:val="28"/>
          <w:szCs w:val="28"/>
        </w:rPr>
      </w:pPr>
    </w:p>
    <w:p>
      <w:pPr>
        <w:snapToGrid w:val="0"/>
        <w:spacing w:line="520" w:lineRule="exact"/>
        <w:jc w:val="center"/>
        <w:outlineLvl w:val="3"/>
        <w:rPr>
          <w:rFonts w:ascii="宋体"/>
          <w:b/>
          <w:bCs/>
          <w:color w:val="000000"/>
          <w:sz w:val="28"/>
          <w:szCs w:val="28"/>
        </w:rPr>
      </w:pPr>
    </w:p>
    <w:p>
      <w:pPr>
        <w:snapToGrid w:val="0"/>
        <w:spacing w:line="520" w:lineRule="exact"/>
        <w:jc w:val="center"/>
        <w:outlineLvl w:val="3"/>
        <w:rPr>
          <w:rFonts w:ascii="宋体"/>
          <w:b/>
          <w:bCs/>
          <w:color w:val="000000"/>
          <w:sz w:val="28"/>
          <w:szCs w:val="28"/>
        </w:rPr>
      </w:pPr>
    </w:p>
    <w:p>
      <w:pPr>
        <w:spacing w:line="360" w:lineRule="auto"/>
        <w:rPr>
          <w:rFonts w:ascii="宋体"/>
          <w:b/>
          <w:bCs/>
          <w:sz w:val="30"/>
          <w:szCs w:val="30"/>
        </w:rPr>
      </w:pPr>
    </w:p>
    <w:p>
      <w:pPr>
        <w:snapToGrid w:val="0"/>
        <w:spacing w:line="520" w:lineRule="exact"/>
        <w:ind w:firstLine="420" w:firstLineChars="200"/>
        <w:jc w:val="center"/>
      </w:pPr>
      <w:r>
        <w:br w:type="page"/>
      </w:r>
    </w:p>
    <w:p>
      <w:pPr>
        <w:widowControl/>
        <w:jc w:val="left"/>
        <w:rPr>
          <w:rFonts w:ascii="宋体" w:hAnsi="宋体" w:cs="宋体"/>
          <w:b/>
          <w:bCs/>
          <w:color w:val="000000"/>
          <w:sz w:val="28"/>
          <w:szCs w:val="28"/>
        </w:rPr>
      </w:pPr>
    </w:p>
    <w:p>
      <w:pPr>
        <w:snapToGrid w:val="0"/>
        <w:spacing w:line="520" w:lineRule="exact"/>
        <w:ind w:firstLine="562" w:firstLineChars="200"/>
        <w:jc w:val="center"/>
        <w:rPr>
          <w:rFonts w:ascii="宋体"/>
          <w:b/>
          <w:bCs/>
          <w:color w:val="000000"/>
          <w:sz w:val="28"/>
          <w:szCs w:val="28"/>
        </w:rPr>
      </w:pPr>
      <w:r>
        <w:rPr>
          <w:rFonts w:hint="eastAsia" w:ascii="宋体" w:hAnsi="宋体" w:cs="宋体"/>
          <w:b/>
          <w:bCs/>
          <w:color w:val="000000"/>
          <w:sz w:val="28"/>
          <w:szCs w:val="28"/>
        </w:rPr>
        <w:t>7、竞争性磋商响应函（格式不得变动）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520" w:lineRule="exact"/>
        <w:ind w:firstLine="480" w:firstLineChars="200"/>
        <w:rPr>
          <w:rFonts w:ascii="宋体"/>
          <w:color w:val="000000"/>
          <w:sz w:val="24"/>
          <w:szCs w:val="24"/>
        </w:rPr>
      </w:pPr>
      <w:r>
        <w:rPr>
          <w:rFonts w:hint="eastAsia" w:ascii="宋体" w:hAnsi="宋体" w:cs="宋体"/>
          <w:color w:val="000000"/>
          <w:sz w:val="24"/>
          <w:szCs w:val="24"/>
        </w:rPr>
        <w:t>依据贵单位委托代理机构组织的</w:t>
      </w:r>
      <w:r>
        <w:rPr>
          <w:rFonts w:hint="eastAsia" w:ascii="宋体" w:hAnsi="宋体" w:cs="宋体"/>
          <w:bCs/>
          <w:sz w:val="24"/>
          <w:szCs w:val="24"/>
          <w:u w:val="single"/>
        </w:rPr>
        <w:t xml:space="preserve">                    </w:t>
      </w:r>
      <w:r>
        <w:rPr>
          <w:rFonts w:hint="eastAsia" w:ascii="宋体" w:hAnsi="宋体" w:cs="宋体"/>
          <w:color w:val="000000"/>
          <w:sz w:val="24"/>
          <w:szCs w:val="24"/>
        </w:rPr>
        <w:t>（磋商项目名称及项目编号</w:t>
      </w:r>
      <w:r>
        <w:rPr>
          <w:rFonts w:ascii="宋体" w:hAnsi="宋体" w:cs="宋体"/>
          <w:color w:val="000000"/>
          <w:sz w:val="24"/>
          <w:szCs w:val="24"/>
        </w:rPr>
        <w:t>)</w:t>
      </w:r>
      <w:r>
        <w:rPr>
          <w:rFonts w:hint="eastAsia" w:ascii="宋体" w:hAnsi="宋体" w:cs="宋体"/>
          <w:color w:val="000000"/>
          <w:sz w:val="24"/>
          <w:szCs w:val="24"/>
        </w:rPr>
        <w:t>项目竞争性磋商的邀请，我方授权</w:t>
      </w:r>
      <w:r>
        <w:rPr>
          <w:rFonts w:hint="eastAsia" w:ascii="宋体" w:hAnsi="宋体" w:cs="宋体"/>
          <w:bCs/>
          <w:sz w:val="24"/>
          <w:szCs w:val="24"/>
          <w:u w:val="single"/>
        </w:rPr>
        <w:t xml:space="preserve">          </w:t>
      </w:r>
      <w:r>
        <w:rPr>
          <w:rFonts w:hint="eastAsia" w:ascii="宋体" w:hAnsi="宋体" w:cs="宋体"/>
          <w:color w:val="000000"/>
          <w:sz w:val="24"/>
          <w:szCs w:val="24"/>
        </w:rPr>
        <w:t>（姓名）</w:t>
      </w:r>
      <w:r>
        <w:rPr>
          <w:rFonts w:hint="eastAsia" w:ascii="宋体" w:hAnsi="宋体" w:cs="宋体"/>
          <w:bCs/>
          <w:sz w:val="24"/>
          <w:szCs w:val="24"/>
          <w:u w:val="single"/>
        </w:rPr>
        <w:t xml:space="preserve">          </w:t>
      </w:r>
      <w:r>
        <w:rPr>
          <w:rFonts w:hint="eastAsia" w:ascii="宋体" w:hAnsi="宋体" w:cs="宋体"/>
          <w:color w:val="000000"/>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、我公司已毫无保留地向贵方提供一切所需的证明材料。</w:t>
      </w:r>
    </w:p>
    <w:p>
      <w:pPr>
        <w:snapToGrid w:val="0"/>
        <w:spacing w:line="520" w:lineRule="exact"/>
        <w:ind w:firstLine="480" w:firstLineChars="200"/>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、我公司承诺在本次磋商响应中提供的一切文件，无论是原件还是复印件（扫描打印件）均真实有效，绝无任何虚假、伪造和夸大的成份。否则，愿承担相应的后果和法律责任。</w:t>
      </w:r>
    </w:p>
    <w:p>
      <w:pPr>
        <w:snapToGrid w:val="0"/>
        <w:spacing w:line="520" w:lineRule="exact"/>
        <w:ind w:firstLine="480" w:firstLineChars="200"/>
        <w:rPr>
          <w:rFonts w:asci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、一旦成交，我方承诺无正当理由拒绝签订合同，将被贵方取消成交资格。</w:t>
      </w:r>
    </w:p>
    <w:p>
      <w:pPr>
        <w:snapToGrid w:val="0"/>
        <w:spacing w:line="520" w:lineRule="exact"/>
        <w:ind w:firstLine="480" w:firstLineChars="200"/>
        <w:rPr>
          <w:rFonts w:ascii="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w:t>
      </w:r>
      <w:r>
        <w:rPr>
          <w:rFonts w:hint="eastAsia" w:ascii="宋体" w:hAnsi="宋体" w:cs="宋体"/>
          <w:b/>
          <w:bCs/>
          <w:color w:val="000000"/>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color w:val="000000"/>
          <w:sz w:val="24"/>
          <w:szCs w:val="24"/>
        </w:rPr>
      </w:pPr>
    </w:p>
    <w:p>
      <w:pPr>
        <w:pStyle w:val="20"/>
      </w:pPr>
    </w:p>
    <w:p>
      <w:pPr>
        <w:snapToGrid w:val="0"/>
        <w:spacing w:line="520" w:lineRule="exact"/>
        <w:jc w:val="right"/>
        <w:rPr>
          <w:rFonts w:ascii="宋体"/>
          <w:color w:val="000000"/>
          <w:sz w:val="24"/>
          <w:szCs w:val="24"/>
        </w:rPr>
      </w:pPr>
      <w:r>
        <w:rPr>
          <w:rFonts w:hint="eastAsia" w:ascii="宋体" w:hAnsi="宋体" w:cs="宋体"/>
          <w:color w:val="000000"/>
          <w:sz w:val="24"/>
          <w:szCs w:val="24"/>
        </w:rPr>
        <w:t>竞争性磋商响应单位：（加盖公章）</w:t>
      </w:r>
    </w:p>
    <w:p>
      <w:pPr>
        <w:snapToGrid w:val="0"/>
        <w:spacing w:line="520" w:lineRule="exact"/>
        <w:ind w:firstLine="2400" w:firstLineChars="1000"/>
        <w:jc w:val="right"/>
        <w:rPr>
          <w:rFonts w:ascii="宋体"/>
          <w:color w:val="000000"/>
          <w:sz w:val="24"/>
          <w:szCs w:val="24"/>
        </w:rPr>
      </w:pPr>
      <w:r>
        <w:rPr>
          <w:rFonts w:hint="eastAsia" w:ascii="宋体" w:hAnsi="宋体" w:cs="宋体"/>
          <w:color w:val="000000"/>
          <w:sz w:val="24"/>
          <w:szCs w:val="24"/>
        </w:rPr>
        <w:t>法定代表人或被授权人：（签字或盖章）</w:t>
      </w:r>
    </w:p>
    <w:p>
      <w:pPr>
        <w:snapToGrid w:val="0"/>
        <w:spacing w:line="520" w:lineRule="exact"/>
        <w:jc w:val="right"/>
        <w:rPr>
          <w:rFonts w:ascii="宋体"/>
          <w:color w:val="000000"/>
          <w:sz w:val="24"/>
          <w:szCs w:val="24"/>
        </w:rPr>
      </w:pPr>
      <w:r>
        <w:rPr>
          <w:rFonts w:hint="eastAsia" w:ascii="宋体" w:hAnsi="宋体" w:cs="宋体"/>
          <w:color w:val="000000"/>
          <w:sz w:val="24"/>
          <w:szCs w:val="24"/>
        </w:rPr>
        <w:t>年    月   日</w:t>
      </w:r>
    </w:p>
    <w:p>
      <w:pPr>
        <w:snapToGrid w:val="0"/>
        <w:spacing w:line="520" w:lineRule="exact"/>
        <w:jc w:val="center"/>
        <w:outlineLvl w:val="3"/>
        <w:rPr>
          <w:rFonts w:ascii="宋体"/>
          <w:b/>
          <w:bCs/>
          <w:color w:val="000000"/>
          <w:sz w:val="28"/>
          <w:szCs w:val="28"/>
        </w:rPr>
      </w:pPr>
    </w:p>
    <w:p>
      <w:pPr>
        <w:snapToGrid w:val="0"/>
        <w:spacing w:line="520" w:lineRule="exact"/>
        <w:jc w:val="center"/>
        <w:outlineLvl w:val="2"/>
        <w:rPr>
          <w:rFonts w:ascii="宋体" w:hAnsi="宋体"/>
          <w:b/>
          <w:bCs/>
          <w:snapToGrid w:val="0"/>
          <w:kern w:val="0"/>
          <w:sz w:val="32"/>
          <w:szCs w:val="32"/>
        </w:rPr>
      </w:pPr>
      <w:r>
        <w:rPr>
          <w:rFonts w:ascii="宋体" w:hAnsi="宋体"/>
          <w:b/>
          <w:bCs/>
          <w:snapToGrid w:val="0"/>
          <w:kern w:val="0"/>
          <w:sz w:val="32"/>
          <w:szCs w:val="32"/>
        </w:rPr>
        <w:br w:type="page"/>
      </w:r>
    </w:p>
    <w:p>
      <w:pPr>
        <w:spacing w:line="360" w:lineRule="auto"/>
        <w:jc w:val="center"/>
        <w:rPr>
          <w:rFonts w:ascii="宋体" w:hAnsi="宋体"/>
          <w:b/>
          <w:bCs/>
          <w:snapToGrid w:val="0"/>
          <w:kern w:val="0"/>
          <w:sz w:val="32"/>
          <w:szCs w:val="32"/>
        </w:rPr>
      </w:pPr>
    </w:p>
    <w:p>
      <w:pPr>
        <w:spacing w:line="360" w:lineRule="auto"/>
        <w:jc w:val="center"/>
        <w:rPr>
          <w:rFonts w:ascii="宋体" w:hAnsi="宋体"/>
          <w:b/>
          <w:bCs/>
          <w:snapToGrid w:val="0"/>
          <w:kern w:val="0"/>
          <w:sz w:val="32"/>
          <w:szCs w:val="32"/>
        </w:rPr>
      </w:pPr>
      <w:r>
        <w:rPr>
          <w:rFonts w:hint="eastAsia" w:ascii="宋体" w:hAnsi="宋体"/>
          <w:b/>
          <w:bCs/>
          <w:snapToGrid w:val="0"/>
          <w:kern w:val="0"/>
          <w:sz w:val="32"/>
          <w:szCs w:val="32"/>
        </w:rPr>
        <w:t>8、磋商响应报价总表</w:t>
      </w:r>
    </w:p>
    <w:tbl>
      <w:tblPr>
        <w:tblStyle w:val="51"/>
        <w:tblW w:w="0" w:type="auto"/>
        <w:jc w:val="center"/>
        <w:tblLayout w:type="fixed"/>
        <w:tblCellMar>
          <w:top w:w="0" w:type="dxa"/>
          <w:left w:w="108" w:type="dxa"/>
          <w:bottom w:w="0" w:type="dxa"/>
          <w:right w:w="108" w:type="dxa"/>
        </w:tblCellMar>
      </w:tblPr>
      <w:tblGrid>
        <w:gridCol w:w="1903"/>
        <w:gridCol w:w="7433"/>
      </w:tblGrid>
      <w:tr>
        <w:tblPrEx>
          <w:tblCellMar>
            <w:top w:w="0" w:type="dxa"/>
            <w:left w:w="108" w:type="dxa"/>
            <w:bottom w:w="0" w:type="dxa"/>
            <w:right w:w="108" w:type="dxa"/>
          </w:tblCellMar>
        </w:tblPrEx>
        <w:trPr>
          <w:trHeight w:val="1063"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项目名称</w:t>
            </w:r>
          </w:p>
        </w:tc>
        <w:tc>
          <w:tcPr>
            <w:tcW w:w="743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360" w:lineRule="auto"/>
              <w:jc w:val="left"/>
              <w:rPr>
                <w:rFonts w:ascii="宋体" w:hAnsi="宋体" w:cs="Arial"/>
                <w:kern w:val="0"/>
                <w:sz w:val="24"/>
                <w:szCs w:val="24"/>
                <w:u w:val="single"/>
              </w:rPr>
            </w:pPr>
            <w:r>
              <w:rPr>
                <w:rFonts w:hint="eastAsia" w:ascii="宋体" w:hAnsi="宋体" w:cs="Arial"/>
                <w:kern w:val="0"/>
                <w:sz w:val="24"/>
                <w:szCs w:val="24"/>
                <w:u w:val="single"/>
              </w:rPr>
              <w:t>南通市妇幼保健院出生医学证明进馆档案整理服务项目</w:t>
            </w:r>
          </w:p>
        </w:tc>
      </w:tr>
      <w:tr>
        <w:tblPrEx>
          <w:tblCellMar>
            <w:top w:w="0" w:type="dxa"/>
            <w:left w:w="108" w:type="dxa"/>
            <w:bottom w:w="0" w:type="dxa"/>
            <w:right w:w="108" w:type="dxa"/>
          </w:tblCellMar>
        </w:tblPrEx>
        <w:trPr>
          <w:trHeight w:val="1401" w:hRule="atLeast"/>
          <w:jc w:val="center"/>
        </w:trPr>
        <w:tc>
          <w:tcPr>
            <w:tcW w:w="1903" w:type="dxa"/>
            <w:tcBorders>
              <w:top w:val="nil"/>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s="宋体"/>
                <w:snapToGrid w:val="0"/>
                <w:kern w:val="0"/>
                <w:sz w:val="24"/>
                <w:szCs w:val="24"/>
              </w:rPr>
            </w:pPr>
            <w:r>
              <w:rPr>
                <w:rFonts w:hint="eastAsia" w:ascii="宋体" w:hAnsi="宋体" w:cs="宋体"/>
                <w:snapToGrid w:val="0"/>
                <w:kern w:val="0"/>
                <w:sz w:val="24"/>
                <w:szCs w:val="24"/>
              </w:rPr>
              <w:t>首次报价</w:t>
            </w:r>
          </w:p>
        </w:tc>
        <w:tc>
          <w:tcPr>
            <w:tcW w:w="74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20" w:lineRule="exact"/>
              <w:ind w:left="1133" w:right="0" w:hanging="1132" w:hangingChars="472"/>
              <w:rPr>
                <w:rFonts w:hint="eastAsia" w:cs="宋体"/>
                <w:sz w:val="24"/>
                <w:szCs w:val="24"/>
                <w:lang w:val="en-US" w:eastAsia="zh-CN"/>
              </w:rPr>
            </w:pPr>
            <w:r>
              <w:rPr>
                <w:rFonts w:hint="eastAsia" w:cs="宋体"/>
                <w:sz w:val="24"/>
                <w:szCs w:val="24"/>
                <w:lang w:val="en-US" w:eastAsia="zh-CN"/>
              </w:rPr>
              <w:t>单价：</w:t>
            </w:r>
            <w:r>
              <w:rPr>
                <w:rFonts w:hint="eastAsia" w:cs="宋体"/>
                <w:sz w:val="24"/>
                <w:szCs w:val="24"/>
                <w:u w:val="single"/>
                <w:lang w:val="en-US" w:eastAsia="zh-CN"/>
              </w:rPr>
              <w:t xml:space="preserve">         </w:t>
            </w:r>
            <w:r>
              <w:rPr>
                <w:rFonts w:hint="eastAsia" w:cs="宋体"/>
                <w:sz w:val="24"/>
                <w:szCs w:val="24"/>
                <w:lang w:val="en-US" w:eastAsia="zh-CN"/>
              </w:rPr>
              <w:t xml:space="preserve">元/份         </w:t>
            </w:r>
          </w:p>
          <w:p>
            <w:pPr>
              <w:keepNext w:val="0"/>
              <w:keepLines w:val="0"/>
              <w:suppressLineNumbers w:val="0"/>
              <w:snapToGrid w:val="0"/>
              <w:spacing w:before="0" w:beforeAutospacing="0" w:after="0" w:afterAutospacing="0" w:line="420" w:lineRule="exact"/>
              <w:ind w:left="1133" w:right="0" w:hanging="1132" w:hangingChars="472"/>
              <w:rPr>
                <w:rFonts w:ascii="宋体" w:hAnsi="宋体"/>
                <w:snapToGrid w:val="0"/>
                <w:color w:val="000000"/>
                <w:kern w:val="0"/>
                <w:sz w:val="24"/>
                <w:szCs w:val="24"/>
                <w:u w:val="single"/>
              </w:rPr>
            </w:pPr>
            <w:r>
              <w:rPr>
                <w:rFonts w:hint="eastAsia" w:cs="宋体"/>
                <w:sz w:val="24"/>
                <w:szCs w:val="24"/>
                <w:lang w:val="en-US" w:eastAsia="zh-CN"/>
              </w:rPr>
              <w:t>暂定总价</w:t>
            </w:r>
            <w:r>
              <w:rPr>
                <w:rFonts w:hint="eastAsia" w:eastAsia="宋体" w:cs="宋体"/>
                <w:sz w:val="24"/>
                <w:szCs w:val="24"/>
              </w:rPr>
              <w:t>：</w:t>
            </w:r>
            <w:r>
              <w:rPr>
                <w:rFonts w:hint="eastAsia" w:ascii="宋体" w:hAnsi="宋体" w:eastAsia="宋体" w:cs="宋体"/>
                <w:snapToGrid w:val="0"/>
                <w:sz w:val="24"/>
                <w:szCs w:val="24"/>
              </w:rPr>
              <w:t>人民币</w:t>
            </w:r>
            <w:r>
              <w:rPr>
                <w:rFonts w:hint="eastAsia" w:ascii="宋体" w:hAnsi="宋体" w:eastAsia="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w:t>
            </w:r>
            <w:r>
              <w:rPr>
                <w:rFonts w:hint="eastAsia" w:ascii="宋体" w:hAnsi="宋体" w:eastAsia="宋体" w:cs="宋体"/>
                <w:snapToGrid w:val="0"/>
                <w:sz w:val="24"/>
                <w:szCs w:val="24"/>
                <w:u w:val="single"/>
              </w:rPr>
              <w:t xml:space="preserve">  拾 </w:t>
            </w:r>
            <w:r>
              <w:rPr>
                <w:rFonts w:hint="eastAsia" w:ascii="宋体" w:hAnsi="宋体" w:cs="宋体"/>
                <w:snapToGrid w:val="0"/>
                <w:sz w:val="24"/>
                <w:szCs w:val="24"/>
                <w:u w:val="single"/>
                <w:lang w:val="en-US" w:eastAsia="zh-CN"/>
              </w:rPr>
              <w:t xml:space="preserve"> </w:t>
            </w:r>
            <w:r>
              <w:rPr>
                <w:rFonts w:hint="eastAsia" w:ascii="宋体" w:hAnsi="宋体" w:eastAsia="宋体" w:cs="宋体"/>
                <w:snapToGrid w:val="0"/>
                <w:sz w:val="24"/>
                <w:szCs w:val="24"/>
                <w:u w:val="single"/>
              </w:rPr>
              <w:t xml:space="preserve">  万 </w:t>
            </w:r>
            <w:r>
              <w:rPr>
                <w:rFonts w:hint="eastAsia" w:ascii="宋体" w:hAnsi="宋体" w:cs="宋体"/>
                <w:snapToGrid w:val="0"/>
                <w:sz w:val="24"/>
                <w:szCs w:val="24"/>
                <w:u w:val="single"/>
                <w:lang w:val="en-US" w:eastAsia="zh-CN"/>
              </w:rPr>
              <w:t xml:space="preserve"> </w:t>
            </w:r>
            <w:r>
              <w:rPr>
                <w:rFonts w:hint="eastAsia" w:ascii="宋体" w:hAnsi="宋体" w:eastAsia="宋体" w:cs="宋体"/>
                <w:snapToGrid w:val="0"/>
                <w:sz w:val="24"/>
                <w:szCs w:val="24"/>
                <w:u w:val="single"/>
              </w:rPr>
              <w:t xml:space="preserve">  仟  </w:t>
            </w:r>
            <w:r>
              <w:rPr>
                <w:rFonts w:hint="eastAsia" w:ascii="宋体" w:hAnsi="宋体" w:cs="宋体"/>
                <w:snapToGrid w:val="0"/>
                <w:sz w:val="24"/>
                <w:szCs w:val="24"/>
                <w:u w:val="single"/>
                <w:lang w:val="en-US" w:eastAsia="zh-CN"/>
              </w:rPr>
              <w:t xml:space="preserve"> </w:t>
            </w:r>
            <w:r>
              <w:rPr>
                <w:rFonts w:hint="eastAsia" w:ascii="宋体" w:hAnsi="宋体" w:eastAsia="宋体" w:cs="宋体"/>
                <w:snapToGrid w:val="0"/>
                <w:sz w:val="24"/>
                <w:szCs w:val="24"/>
                <w:u w:val="single"/>
              </w:rPr>
              <w:t xml:space="preserve"> 佰 </w:t>
            </w:r>
            <w:r>
              <w:rPr>
                <w:rFonts w:hint="eastAsia" w:ascii="宋体" w:hAnsi="宋体" w:cs="宋体"/>
                <w:snapToGrid w:val="0"/>
                <w:sz w:val="24"/>
                <w:szCs w:val="24"/>
                <w:u w:val="single"/>
                <w:lang w:val="en-US" w:eastAsia="zh-CN"/>
              </w:rPr>
              <w:t xml:space="preserve"> </w:t>
            </w:r>
            <w:r>
              <w:rPr>
                <w:rFonts w:hint="eastAsia" w:ascii="宋体" w:hAnsi="宋体" w:eastAsia="宋体" w:cs="宋体"/>
                <w:snapToGrid w:val="0"/>
                <w:sz w:val="24"/>
                <w:szCs w:val="24"/>
                <w:u w:val="single"/>
              </w:rPr>
              <w:t xml:space="preserve">  元  </w:t>
            </w:r>
            <w:r>
              <w:rPr>
                <w:rFonts w:hint="eastAsia" w:ascii="宋体" w:hAnsi="宋体" w:cs="宋体"/>
                <w:snapToGrid w:val="0"/>
                <w:sz w:val="24"/>
                <w:szCs w:val="24"/>
                <w:u w:val="single"/>
                <w:lang w:val="en-US" w:eastAsia="zh-CN"/>
              </w:rPr>
              <w:t xml:space="preserve"> </w:t>
            </w:r>
            <w:r>
              <w:rPr>
                <w:rFonts w:hint="eastAsia" w:ascii="宋体" w:hAnsi="宋体" w:eastAsia="宋体" w:cs="宋体"/>
                <w:snapToGrid w:val="0"/>
                <w:sz w:val="24"/>
                <w:szCs w:val="24"/>
                <w:u w:val="single"/>
              </w:rPr>
              <w:t xml:space="preserve"> 角   分</w:t>
            </w:r>
            <w:r>
              <w:rPr>
                <w:rFonts w:hint="eastAsia" w:ascii="宋体" w:hAnsi="宋体" w:eastAsia="宋体" w:cs="宋体"/>
                <w:snapToGrid w:val="0"/>
                <w:sz w:val="24"/>
                <w:szCs w:val="24"/>
              </w:rPr>
              <w:t>。</w:t>
            </w:r>
            <w:r>
              <w:rPr>
                <w:rFonts w:hint="eastAsia" w:eastAsia="宋体" w:cs="宋体"/>
                <w:sz w:val="24"/>
                <w:szCs w:val="24"/>
              </w:rPr>
              <w:t xml:space="preserve"> </w:t>
            </w:r>
            <w:r>
              <w:rPr>
                <w:rFonts w:hint="eastAsia" w:cs="宋体"/>
                <w:sz w:val="24"/>
                <w:szCs w:val="24"/>
                <w:lang w:eastAsia="zh-CN"/>
              </w:rPr>
              <w:t>（</w:t>
            </w:r>
            <w:r>
              <w:rPr>
                <w:rFonts w:hint="eastAsia" w:cs="宋体"/>
                <w:sz w:val="24"/>
                <w:szCs w:val="24"/>
                <w:lang w:val="en-US" w:eastAsia="zh-CN"/>
              </w:rPr>
              <w:t>小写：</w:t>
            </w:r>
            <w:r>
              <w:rPr>
                <w:rFonts w:hint="eastAsia" w:cs="宋体"/>
                <w:sz w:val="24"/>
                <w:szCs w:val="24"/>
                <w:u w:val="single"/>
                <w:lang w:val="en-US" w:eastAsia="zh-CN"/>
              </w:rPr>
              <w:t xml:space="preserve">                </w:t>
            </w:r>
            <w:r>
              <w:rPr>
                <w:rFonts w:hint="eastAsia" w:eastAsia="宋体" w:cs="宋体"/>
                <w:sz w:val="24"/>
                <w:szCs w:val="24"/>
                <w:u w:val="single"/>
              </w:rPr>
              <w:t xml:space="preserve"> </w:t>
            </w:r>
            <w:r>
              <w:rPr>
                <w:rFonts w:hint="eastAsia" w:cs="宋体"/>
                <w:sz w:val="24"/>
                <w:szCs w:val="24"/>
                <w:u w:val="single"/>
                <w:lang w:val="en-US" w:eastAsia="zh-CN"/>
              </w:rPr>
              <w:t>元。</w:t>
            </w:r>
            <w:r>
              <w:rPr>
                <w:rFonts w:hint="eastAsia" w:cs="宋体"/>
                <w:sz w:val="24"/>
                <w:szCs w:val="24"/>
                <w:lang w:val="en-US" w:eastAsia="zh-CN"/>
              </w:rPr>
              <w:t xml:space="preserve"> ）</w:t>
            </w:r>
            <w:r>
              <w:rPr>
                <w:rFonts w:hint="eastAsia" w:cs="宋体"/>
                <w:sz w:val="24"/>
                <w:szCs w:val="24"/>
              </w:rPr>
              <w:t xml:space="preserve">   </w:t>
            </w:r>
          </w:p>
        </w:tc>
      </w:tr>
      <w:tr>
        <w:tblPrEx>
          <w:tblCellMar>
            <w:top w:w="0" w:type="dxa"/>
            <w:left w:w="108" w:type="dxa"/>
            <w:bottom w:w="0" w:type="dxa"/>
            <w:right w:w="108" w:type="dxa"/>
          </w:tblCellMar>
        </w:tblPrEx>
        <w:trPr>
          <w:trHeight w:val="1401" w:hRule="atLeast"/>
          <w:jc w:val="center"/>
        </w:trPr>
        <w:tc>
          <w:tcPr>
            <w:tcW w:w="1903" w:type="dxa"/>
            <w:tcBorders>
              <w:top w:val="nil"/>
              <w:left w:val="single" w:color="auto" w:sz="4" w:space="0"/>
              <w:bottom w:val="single" w:color="auto" w:sz="4" w:space="0"/>
              <w:right w:val="single" w:color="auto" w:sz="4" w:space="0"/>
            </w:tcBorders>
            <w:vAlign w:val="center"/>
          </w:tcPr>
          <w:p>
            <w:pPr>
              <w:snapToGrid w:val="0"/>
              <w:spacing w:line="480" w:lineRule="exact"/>
              <w:jc w:val="center"/>
              <w:textAlignment w:val="baseline"/>
              <w:rPr>
                <w:rFonts w:ascii="宋体" w:hAnsi="宋体" w:cs="宋体"/>
                <w:snapToGrid w:val="0"/>
                <w:kern w:val="0"/>
                <w:sz w:val="24"/>
                <w:szCs w:val="24"/>
              </w:rPr>
            </w:pPr>
            <w:r>
              <w:rPr>
                <w:rFonts w:hint="eastAsia" w:ascii="宋体" w:hAnsi="宋体" w:cs="宋体"/>
                <w:sz w:val="24"/>
                <w:szCs w:val="24"/>
              </w:rPr>
              <w:t>磋商报价（最终）</w:t>
            </w:r>
          </w:p>
          <w:p>
            <w:pPr>
              <w:widowControl/>
              <w:jc w:val="center"/>
              <w:rPr>
                <w:rFonts w:ascii="宋体" w:hAnsi="宋体" w:cs="宋体"/>
                <w:b/>
                <w:snapToGrid w:val="0"/>
                <w:kern w:val="0"/>
                <w:sz w:val="24"/>
                <w:szCs w:val="24"/>
                <w:u w:val="single"/>
              </w:rPr>
            </w:pPr>
            <w:r>
              <w:rPr>
                <w:rFonts w:hint="eastAsia" w:ascii="宋体" w:hAnsi="宋体" w:cs="宋体"/>
                <w:b/>
                <w:snapToGrid w:val="0"/>
                <w:kern w:val="0"/>
                <w:sz w:val="24"/>
                <w:szCs w:val="24"/>
                <w:highlight w:val="yellow"/>
                <w:u w:val="single"/>
              </w:rPr>
              <w:t>磋商现场填写</w:t>
            </w:r>
          </w:p>
        </w:tc>
        <w:tc>
          <w:tcPr>
            <w:tcW w:w="74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20" w:lineRule="exact"/>
              <w:ind w:left="1133" w:right="0" w:hanging="1132" w:hangingChars="472"/>
              <w:rPr>
                <w:rFonts w:hint="eastAsia" w:ascii="Times New Roman" w:hAnsi="Times New Roman" w:cs="宋体"/>
                <w:sz w:val="24"/>
                <w:szCs w:val="24"/>
                <w:lang w:val="en-US" w:eastAsia="zh-CN"/>
              </w:rPr>
            </w:pPr>
            <w:r>
              <w:rPr>
                <w:rFonts w:hint="eastAsia" w:ascii="Times New Roman" w:hAnsi="Times New Roman" w:cs="宋体"/>
                <w:sz w:val="24"/>
                <w:szCs w:val="24"/>
                <w:lang w:val="en-US" w:eastAsia="zh-CN"/>
              </w:rPr>
              <w:t>单价：</w:t>
            </w:r>
            <w:r>
              <w:rPr>
                <w:rFonts w:hint="eastAsia" w:cs="宋体"/>
                <w:sz w:val="24"/>
                <w:szCs w:val="24"/>
                <w:u w:val="single"/>
                <w:lang w:val="en-US" w:eastAsia="zh-CN"/>
              </w:rPr>
              <w:t xml:space="preserve">         </w:t>
            </w:r>
            <w:r>
              <w:rPr>
                <w:rFonts w:hint="eastAsia" w:cs="宋体"/>
                <w:sz w:val="24"/>
                <w:szCs w:val="24"/>
                <w:lang w:val="en-US" w:eastAsia="zh-CN"/>
              </w:rPr>
              <w:t>元/份</w:t>
            </w:r>
            <w:r>
              <w:rPr>
                <w:rFonts w:hint="eastAsia" w:ascii="Times New Roman" w:hAnsi="Times New Roman" w:cs="宋体"/>
                <w:sz w:val="24"/>
                <w:szCs w:val="24"/>
                <w:lang w:val="en-US" w:eastAsia="zh-CN"/>
              </w:rPr>
              <w:t xml:space="preserve">         </w:t>
            </w:r>
          </w:p>
          <w:p>
            <w:pPr>
              <w:keepNext w:val="0"/>
              <w:keepLines w:val="0"/>
              <w:suppressLineNumbers w:val="0"/>
              <w:snapToGrid w:val="0"/>
              <w:spacing w:before="0" w:beforeAutospacing="0" w:after="0" w:afterAutospacing="0" w:line="420" w:lineRule="exact"/>
              <w:ind w:left="1133" w:right="0" w:hanging="1132" w:hangingChars="472"/>
            </w:pPr>
            <w:r>
              <w:rPr>
                <w:rFonts w:hint="eastAsia" w:ascii="Times New Roman" w:hAnsi="Times New Roman" w:cs="宋体"/>
                <w:sz w:val="24"/>
                <w:szCs w:val="24"/>
                <w:lang w:val="en-US" w:eastAsia="zh-CN"/>
              </w:rPr>
              <w:t>暂定总价：</w:t>
            </w:r>
            <w:r>
              <w:rPr>
                <w:rFonts w:hint="eastAsia" w:ascii="宋体" w:hAnsi="宋体" w:eastAsia="宋体" w:cs="宋体"/>
                <w:snapToGrid w:val="0"/>
                <w:sz w:val="24"/>
                <w:szCs w:val="24"/>
              </w:rPr>
              <w:t>人民币</w:t>
            </w:r>
            <w:r>
              <w:rPr>
                <w:rFonts w:hint="eastAsia" w:ascii="宋体" w:hAnsi="宋体" w:eastAsia="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w:t>
            </w:r>
            <w:r>
              <w:rPr>
                <w:rFonts w:hint="eastAsia" w:ascii="宋体" w:hAnsi="宋体" w:eastAsia="宋体" w:cs="宋体"/>
                <w:snapToGrid w:val="0"/>
                <w:sz w:val="24"/>
                <w:szCs w:val="24"/>
                <w:u w:val="single"/>
              </w:rPr>
              <w:t xml:space="preserve">  拾 </w:t>
            </w:r>
            <w:r>
              <w:rPr>
                <w:rFonts w:hint="eastAsia" w:ascii="宋体" w:hAnsi="宋体" w:cs="宋体"/>
                <w:snapToGrid w:val="0"/>
                <w:sz w:val="24"/>
                <w:szCs w:val="24"/>
                <w:u w:val="single"/>
                <w:lang w:val="en-US" w:eastAsia="zh-CN"/>
              </w:rPr>
              <w:t xml:space="preserve"> </w:t>
            </w:r>
            <w:r>
              <w:rPr>
                <w:rFonts w:hint="eastAsia" w:ascii="宋体" w:hAnsi="宋体" w:eastAsia="宋体" w:cs="宋体"/>
                <w:snapToGrid w:val="0"/>
                <w:sz w:val="24"/>
                <w:szCs w:val="24"/>
                <w:u w:val="single"/>
              </w:rPr>
              <w:t xml:space="preserve">  万 </w:t>
            </w:r>
            <w:r>
              <w:rPr>
                <w:rFonts w:hint="eastAsia" w:ascii="宋体" w:hAnsi="宋体" w:cs="宋体"/>
                <w:snapToGrid w:val="0"/>
                <w:sz w:val="24"/>
                <w:szCs w:val="24"/>
                <w:u w:val="single"/>
                <w:lang w:val="en-US" w:eastAsia="zh-CN"/>
              </w:rPr>
              <w:t xml:space="preserve"> </w:t>
            </w:r>
            <w:r>
              <w:rPr>
                <w:rFonts w:hint="eastAsia" w:ascii="宋体" w:hAnsi="宋体" w:eastAsia="宋体" w:cs="宋体"/>
                <w:snapToGrid w:val="0"/>
                <w:sz w:val="24"/>
                <w:szCs w:val="24"/>
                <w:u w:val="single"/>
              </w:rPr>
              <w:t xml:space="preserve">  仟  </w:t>
            </w:r>
            <w:r>
              <w:rPr>
                <w:rFonts w:hint="eastAsia" w:ascii="宋体" w:hAnsi="宋体" w:cs="宋体"/>
                <w:snapToGrid w:val="0"/>
                <w:sz w:val="24"/>
                <w:szCs w:val="24"/>
                <w:u w:val="single"/>
                <w:lang w:val="en-US" w:eastAsia="zh-CN"/>
              </w:rPr>
              <w:t xml:space="preserve"> </w:t>
            </w:r>
            <w:r>
              <w:rPr>
                <w:rFonts w:hint="eastAsia" w:ascii="宋体" w:hAnsi="宋体" w:eastAsia="宋体" w:cs="宋体"/>
                <w:snapToGrid w:val="0"/>
                <w:sz w:val="24"/>
                <w:szCs w:val="24"/>
                <w:u w:val="single"/>
              </w:rPr>
              <w:t xml:space="preserve"> 佰 </w:t>
            </w:r>
            <w:r>
              <w:rPr>
                <w:rFonts w:hint="eastAsia" w:ascii="宋体" w:hAnsi="宋体" w:cs="宋体"/>
                <w:snapToGrid w:val="0"/>
                <w:sz w:val="24"/>
                <w:szCs w:val="24"/>
                <w:u w:val="single"/>
                <w:lang w:val="en-US" w:eastAsia="zh-CN"/>
              </w:rPr>
              <w:t xml:space="preserve"> </w:t>
            </w:r>
            <w:r>
              <w:rPr>
                <w:rFonts w:hint="eastAsia" w:ascii="宋体" w:hAnsi="宋体" w:eastAsia="宋体" w:cs="宋体"/>
                <w:snapToGrid w:val="0"/>
                <w:sz w:val="24"/>
                <w:szCs w:val="24"/>
                <w:u w:val="single"/>
              </w:rPr>
              <w:t xml:space="preserve">  元  </w:t>
            </w:r>
            <w:r>
              <w:rPr>
                <w:rFonts w:hint="eastAsia" w:ascii="宋体" w:hAnsi="宋体" w:cs="宋体"/>
                <w:snapToGrid w:val="0"/>
                <w:sz w:val="24"/>
                <w:szCs w:val="24"/>
                <w:u w:val="single"/>
                <w:lang w:val="en-US" w:eastAsia="zh-CN"/>
              </w:rPr>
              <w:t xml:space="preserve"> </w:t>
            </w:r>
            <w:r>
              <w:rPr>
                <w:rFonts w:hint="eastAsia" w:ascii="宋体" w:hAnsi="宋体" w:eastAsia="宋体" w:cs="宋体"/>
                <w:snapToGrid w:val="0"/>
                <w:sz w:val="24"/>
                <w:szCs w:val="24"/>
                <w:u w:val="single"/>
              </w:rPr>
              <w:t xml:space="preserve"> 角   分</w:t>
            </w:r>
            <w:r>
              <w:rPr>
                <w:rFonts w:hint="eastAsia" w:ascii="宋体" w:hAnsi="宋体" w:eastAsia="宋体" w:cs="宋体"/>
                <w:snapToGrid w:val="0"/>
                <w:sz w:val="24"/>
                <w:szCs w:val="24"/>
              </w:rPr>
              <w:t>。</w:t>
            </w:r>
            <w:r>
              <w:rPr>
                <w:rFonts w:hint="eastAsia" w:ascii="Times New Roman" w:hAnsi="Times New Roman" w:cs="宋体"/>
                <w:sz w:val="24"/>
                <w:szCs w:val="24"/>
                <w:lang w:val="en-US" w:eastAsia="zh-CN"/>
              </w:rPr>
              <w:t xml:space="preserve"> （</w:t>
            </w:r>
            <w:r>
              <w:rPr>
                <w:rFonts w:hint="eastAsia" w:cs="宋体"/>
                <w:sz w:val="24"/>
                <w:szCs w:val="24"/>
                <w:lang w:val="en-US" w:eastAsia="zh-CN"/>
              </w:rPr>
              <w:t>小写：</w:t>
            </w:r>
            <w:r>
              <w:rPr>
                <w:rFonts w:hint="eastAsia" w:cs="宋体"/>
                <w:sz w:val="24"/>
                <w:szCs w:val="24"/>
                <w:u w:val="single"/>
                <w:lang w:val="en-US" w:eastAsia="zh-CN"/>
              </w:rPr>
              <w:t xml:space="preserve">                </w:t>
            </w:r>
            <w:r>
              <w:rPr>
                <w:rFonts w:hint="eastAsia" w:eastAsia="宋体" w:cs="宋体"/>
                <w:sz w:val="24"/>
                <w:szCs w:val="24"/>
                <w:u w:val="single"/>
              </w:rPr>
              <w:t xml:space="preserve"> </w:t>
            </w:r>
            <w:r>
              <w:rPr>
                <w:rFonts w:hint="eastAsia" w:cs="宋体"/>
                <w:sz w:val="24"/>
                <w:szCs w:val="24"/>
                <w:u w:val="single"/>
                <w:lang w:val="en-US" w:eastAsia="zh-CN"/>
              </w:rPr>
              <w:t>元。</w:t>
            </w:r>
            <w:r>
              <w:rPr>
                <w:rFonts w:hint="eastAsia" w:ascii="Times New Roman" w:hAnsi="Times New Roman" w:cs="宋体"/>
                <w:sz w:val="24"/>
                <w:szCs w:val="24"/>
                <w:lang w:val="en-US" w:eastAsia="zh-CN"/>
              </w:rPr>
              <w:t xml:space="preserve"> ）  </w:t>
            </w:r>
          </w:p>
        </w:tc>
      </w:tr>
      <w:tr>
        <w:tblPrEx>
          <w:tblCellMar>
            <w:top w:w="0" w:type="dxa"/>
            <w:left w:w="108" w:type="dxa"/>
            <w:bottom w:w="0" w:type="dxa"/>
            <w:right w:w="108" w:type="dxa"/>
          </w:tblCellMar>
        </w:tblPrEx>
        <w:trPr>
          <w:trHeight w:val="907" w:hRule="atLeast"/>
          <w:jc w:val="center"/>
        </w:trPr>
        <w:tc>
          <w:tcPr>
            <w:tcW w:w="190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其他</w:t>
            </w:r>
          </w:p>
        </w:tc>
        <w:tc>
          <w:tcPr>
            <w:tcW w:w="74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napToGrid w:val="0"/>
                <w:kern w:val="0"/>
                <w:sz w:val="24"/>
                <w:szCs w:val="24"/>
              </w:rPr>
            </w:pPr>
            <w:r>
              <w:rPr>
                <w:rFonts w:hint="eastAsia" w:ascii="宋体" w:hAnsi="宋体" w:cs="宋体"/>
                <w:sz w:val="24"/>
                <w:szCs w:val="24"/>
              </w:rPr>
              <w:t>完全接受并响应本项目</w:t>
            </w:r>
            <w:r>
              <w:rPr>
                <w:rFonts w:hint="eastAsia" w:ascii="宋体" w:hAnsi="宋体" w:cs="宋体"/>
                <w:sz w:val="24"/>
                <w:szCs w:val="24"/>
                <w:lang w:val="en-US" w:eastAsia="zh-CN"/>
              </w:rPr>
              <w:t>磋商</w:t>
            </w:r>
            <w:r>
              <w:rPr>
                <w:rFonts w:hint="eastAsia" w:ascii="宋体" w:hAnsi="宋体" w:cs="宋体"/>
                <w:sz w:val="24"/>
                <w:szCs w:val="24"/>
              </w:rPr>
              <w:t>文件的要求。</w:t>
            </w:r>
          </w:p>
        </w:tc>
      </w:tr>
    </w:tbl>
    <w:p>
      <w:pPr>
        <w:keepNext w:val="0"/>
        <w:keepLines w:val="0"/>
        <w:pageBreakBefore w:val="0"/>
        <w:widowControl w:val="0"/>
        <w:kinsoku/>
        <w:wordWrap/>
        <w:overflowPunct/>
        <w:topLinePunct w:val="0"/>
        <w:autoSpaceDE/>
        <w:autoSpaceDN/>
        <w:bidi w:val="0"/>
        <w:adjustRightInd/>
        <w:snapToGrid w:val="0"/>
        <w:spacing w:line="360" w:lineRule="auto"/>
        <w:ind w:right="79" w:firstLine="4560" w:firstLineChars="1900"/>
        <w:textAlignment w:val="baseline"/>
        <w:rPr>
          <w:rFonts w:hint="eastAsia" w:ascii="宋体" w:hAnsi="宋体" w:cs="宋体"/>
          <w:color w:val="000000"/>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right="79" w:firstLine="4560" w:firstLineChars="1900"/>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pStyle w:val="20"/>
        <w:keepNext w:val="0"/>
        <w:keepLines w:val="0"/>
        <w:pageBreakBefore w:val="0"/>
        <w:widowControl w:val="0"/>
        <w:kinsoku/>
        <w:wordWrap/>
        <w:overflowPunct/>
        <w:topLinePunct w:val="0"/>
        <w:autoSpaceDE/>
        <w:autoSpaceDN/>
        <w:bidi w:val="0"/>
        <w:adjustRightInd/>
        <w:snapToGrid w:val="0"/>
        <w:spacing w:line="360" w:lineRule="auto"/>
        <w:ind w:right="415" w:firstLine="4564" w:firstLineChars="1902"/>
        <w:textAlignment w:val="baseline"/>
        <w:rPr>
          <w:rFonts w:ascii="宋体" w:hAnsi="宋体" w:cs="宋体"/>
          <w:szCs w:val="24"/>
        </w:rPr>
      </w:pPr>
      <w:r>
        <w:rPr>
          <w:rFonts w:hint="eastAsia" w:ascii="宋体" w:hAnsi="宋体" w:cs="宋体"/>
          <w:color w:val="000000"/>
          <w:sz w:val="24"/>
          <w:szCs w:val="24"/>
        </w:rPr>
        <w:t>法定代表人或被授权人：（签字或盖章）</w:t>
      </w:r>
    </w:p>
    <w:p>
      <w:pPr>
        <w:adjustRightInd w:val="0"/>
        <w:snapToGrid w:val="0"/>
        <w:spacing w:line="480" w:lineRule="auto"/>
        <w:jc w:val="left"/>
        <w:rPr>
          <w:rFonts w:ascii="宋体" w:hAnsi="宋体"/>
          <w:snapToGrid w:val="0"/>
          <w:kern w:val="0"/>
          <w:sz w:val="24"/>
          <w:szCs w:val="24"/>
          <w:u w:val="single"/>
        </w:rPr>
      </w:pPr>
      <w:r>
        <w:rPr>
          <w:rFonts w:hint="eastAsia" w:ascii="宋体" w:hAnsi="宋体" w:cs="宋体"/>
          <w:szCs w:val="24"/>
          <w:lang w:val="en-US" w:eastAsia="zh-CN"/>
        </w:rPr>
        <w:t xml:space="preserve">    </w:t>
      </w:r>
      <w:r>
        <w:rPr>
          <w:rFonts w:hint="eastAsia" w:ascii="宋体" w:hAnsi="宋体" w:cs="宋体"/>
          <w:szCs w:val="24"/>
        </w:rPr>
        <w:t xml:space="preserve">     </w:t>
      </w:r>
      <w:r>
        <w:rPr>
          <w:rFonts w:hint="eastAsia" w:ascii="宋体" w:hAnsi="宋体" w:cs="宋体"/>
          <w:szCs w:val="24"/>
          <w:lang w:val="en-US" w:eastAsia="zh-CN"/>
        </w:rPr>
        <w:t xml:space="preserve">                                                 </w:t>
      </w:r>
      <w:r>
        <w:rPr>
          <w:rFonts w:hint="eastAsia" w:ascii="宋体" w:hAnsi="宋体" w:cs="宋体"/>
          <w:szCs w:val="24"/>
        </w:rPr>
        <w:t xml:space="preserve"> 年      月     日</w:t>
      </w:r>
    </w:p>
    <w:p>
      <w:pPr>
        <w:pStyle w:val="20"/>
      </w:pPr>
    </w:p>
    <w:p>
      <w:pPr>
        <w:pStyle w:val="60"/>
      </w:pPr>
    </w:p>
    <w:p>
      <w:pPr>
        <w:snapToGrid w:val="0"/>
        <w:spacing w:line="360" w:lineRule="auto"/>
        <w:rPr>
          <w:rFonts w:ascii="宋体" w:hAnsi="宋体" w:cs="宋体"/>
          <w:snapToGrid w:val="0"/>
          <w:kern w:val="0"/>
          <w:sz w:val="24"/>
          <w:szCs w:val="24"/>
        </w:rPr>
      </w:pPr>
      <w:r>
        <w:rPr>
          <w:rFonts w:hint="eastAsia" w:ascii="宋体" w:hAnsi="宋体" w:cs="宋体"/>
          <w:snapToGrid w:val="0"/>
          <w:kern w:val="0"/>
          <w:sz w:val="24"/>
          <w:szCs w:val="24"/>
        </w:rPr>
        <w:t>注：（1）本表为格式表，不得自行改动，必须提供，否则视为未实质性响应采购文件。</w:t>
      </w:r>
    </w:p>
    <w:p>
      <w:pPr>
        <w:widowControl/>
        <w:snapToGrid w:val="0"/>
        <w:spacing w:line="360" w:lineRule="auto"/>
        <w:ind w:firstLine="480" w:firstLineChars="200"/>
        <w:rPr>
          <w:rFonts w:ascii="宋体" w:hAnsi="宋体"/>
          <w:snapToGrid w:val="0"/>
          <w:kern w:val="0"/>
          <w:sz w:val="24"/>
          <w:szCs w:val="24"/>
        </w:rPr>
      </w:pPr>
      <w:r>
        <w:rPr>
          <w:rFonts w:hint="eastAsia" w:ascii="宋体" w:hAnsi="宋体" w:cs="宋体"/>
          <w:snapToGrid w:val="0"/>
          <w:kern w:val="0"/>
          <w:sz w:val="24"/>
          <w:szCs w:val="24"/>
        </w:rPr>
        <w:t>（2）</w:t>
      </w:r>
      <w:r>
        <w:rPr>
          <w:rFonts w:hint="eastAsia" w:ascii="宋体" w:hAnsi="宋体"/>
          <w:snapToGrid w:val="0"/>
          <w:kern w:val="0"/>
          <w:sz w:val="24"/>
          <w:szCs w:val="24"/>
        </w:rPr>
        <w:t>响应文件密封提交时只需填写首次报价，</w:t>
      </w:r>
      <w:r>
        <w:rPr>
          <w:rFonts w:hint="eastAsia" w:ascii="宋体" w:hAnsi="宋体"/>
          <w:snapToGrid w:val="0"/>
          <w:kern w:val="0"/>
          <w:sz w:val="24"/>
          <w:szCs w:val="24"/>
          <w:lang w:val="en-US" w:eastAsia="zh-CN"/>
        </w:rPr>
        <w:t>磋商</w:t>
      </w:r>
      <w:r>
        <w:rPr>
          <w:rFonts w:hint="eastAsia" w:ascii="宋体" w:hAnsi="宋体" w:cs="宋体"/>
          <w:snapToGrid w:val="0"/>
          <w:kern w:val="0"/>
          <w:sz w:val="24"/>
          <w:szCs w:val="24"/>
        </w:rPr>
        <w:t>最终</w:t>
      </w:r>
      <w:r>
        <w:rPr>
          <w:rFonts w:hint="eastAsia" w:ascii="宋体" w:hAnsi="宋体"/>
          <w:snapToGrid w:val="0"/>
          <w:kern w:val="0"/>
          <w:sz w:val="24"/>
          <w:szCs w:val="24"/>
        </w:rPr>
        <w:t>报价将在磋商现场填写。</w:t>
      </w:r>
    </w:p>
    <w:p>
      <w:pPr>
        <w:pStyle w:val="2"/>
        <w:spacing w:line="360" w:lineRule="auto"/>
        <w:ind w:firstLine="480"/>
        <w:rPr>
          <w:rFonts w:ascii="宋体" w:hAnsi="宋体"/>
          <w:snapToGrid w:val="0"/>
          <w:kern w:val="0"/>
          <w:sz w:val="24"/>
          <w:szCs w:val="24"/>
        </w:rPr>
      </w:pPr>
      <w:r>
        <w:rPr>
          <w:rFonts w:hint="eastAsia" w:ascii="宋体" w:hAnsi="宋体"/>
          <w:snapToGrid w:val="0"/>
          <w:kern w:val="0"/>
          <w:sz w:val="24"/>
          <w:szCs w:val="24"/>
        </w:rPr>
        <w:t>（3）磋商报价均包含但不限于：</w:t>
      </w:r>
      <w:r>
        <w:rPr>
          <w:rFonts w:hint="eastAsia" w:ascii="宋体" w:hAnsi="宋体" w:cs="宋体"/>
          <w:bCs/>
          <w:sz w:val="24"/>
          <w:szCs w:val="24"/>
        </w:rPr>
        <w:t>人工费、档案整理费、装订费、设备费、软件费、办公费、运输费（含装卸力资）、管理费、税金、利润等，还应包含为完成所有工作而采取的各项措施费用，以及作为一个有经验的单位所应考虑到的各种因素、风险而包含的所有费用，即项目履行到项目执行结束的过程中所发生的一切费用及磋商文件要求的所有费用。</w:t>
      </w:r>
    </w:p>
    <w:p>
      <w:pPr>
        <w:widowControl/>
        <w:jc w:val="left"/>
        <w:rPr>
          <w:rFonts w:ascii="宋体" w:hAnsi="宋体"/>
          <w:b/>
          <w:bCs/>
          <w:snapToGrid w:val="0"/>
          <w:kern w:val="0"/>
          <w:sz w:val="32"/>
          <w:szCs w:val="32"/>
        </w:rPr>
      </w:pPr>
      <w:r>
        <w:rPr>
          <w:rFonts w:ascii="宋体" w:hAnsi="宋体"/>
          <w:b/>
          <w:bCs/>
          <w:snapToGrid w:val="0"/>
          <w:kern w:val="0"/>
          <w:sz w:val="32"/>
          <w:szCs w:val="32"/>
        </w:rPr>
        <w:br w:type="page"/>
      </w:r>
    </w:p>
    <w:p>
      <w:pPr>
        <w:pStyle w:val="2"/>
        <w:ind w:firstLine="0" w:firstLineChars="0"/>
        <w:jc w:val="center"/>
        <w:rPr>
          <w:rFonts w:ascii="宋体" w:hAnsi="宋体"/>
          <w:b/>
          <w:bCs/>
          <w:snapToGrid w:val="0"/>
          <w:kern w:val="0"/>
          <w:sz w:val="32"/>
          <w:szCs w:val="32"/>
        </w:rPr>
      </w:pPr>
    </w:p>
    <w:p>
      <w:pPr>
        <w:pStyle w:val="2"/>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9、中小企业声明函</w:t>
      </w:r>
    </w:p>
    <w:p>
      <w:pPr>
        <w:pStyle w:val="2"/>
        <w:ind w:firstLine="0" w:firstLineChars="0"/>
        <w:jc w:val="center"/>
        <w:rPr>
          <w:rFonts w:ascii="宋体" w:hAnsi="宋体"/>
          <w:b/>
          <w:bCs/>
          <w:snapToGrid w:val="0"/>
          <w:kern w:val="0"/>
          <w:sz w:val="32"/>
          <w:szCs w:val="32"/>
        </w:rPr>
      </w:pPr>
    </w:p>
    <w:p>
      <w:pPr>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rPr>
        <w:t>（供应商名称）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服务全部由符合政策要求的中小企业承接。相关企业的具体情况如下： </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（项目名称）</w:t>
      </w:r>
      <w:r>
        <w:rPr>
          <w:rFonts w:hint="eastAsia" w:ascii="宋体" w:hAnsi="宋体" w:cs="宋体"/>
          <w:sz w:val="24"/>
          <w:szCs w:val="24"/>
        </w:rPr>
        <w:t>，属于</w:t>
      </w:r>
      <w:r>
        <w:rPr>
          <w:rFonts w:hint="eastAsia" w:cs="宋体"/>
          <w:b/>
          <w:bCs/>
          <w:sz w:val="24"/>
          <w:szCs w:val="24"/>
          <w:u w:val="thick" w:color="FF0000"/>
        </w:rPr>
        <w:t>“其他未列明行业”</w:t>
      </w:r>
      <w:r>
        <w:rPr>
          <w:rFonts w:hint="eastAsia" w:ascii="宋体" w:hAnsi="宋体" w:cs="宋体"/>
          <w:sz w:val="24"/>
          <w:szCs w:val="24"/>
        </w:rPr>
        <w:t>，承接</w:t>
      </w:r>
      <w:r>
        <w:rPr>
          <w:rFonts w:hint="eastAsia" w:ascii="宋体" w:hAnsi="宋体" w:cs="宋体"/>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（供应商名称）</w:t>
      </w:r>
      <w:r>
        <w:rPr>
          <w:rFonts w:hint="eastAsia" w:ascii="宋体" w:hAnsi="宋体" w:cs="宋体"/>
          <w:sz w:val="24"/>
          <w:szCs w:val="24"/>
        </w:rPr>
        <w:t>，从业人员</w:t>
      </w:r>
      <w:r>
        <w:rPr>
          <w:rFonts w:hint="eastAsia" w:ascii="宋体" w:hAnsi="宋体" w:cs="宋体"/>
          <w:snapToGrid w:val="0"/>
          <w:kern w:val="0"/>
          <w:sz w:val="24"/>
          <w:szCs w:val="24"/>
          <w:u w:val="single"/>
        </w:rPr>
        <w:t xml:space="preserve">    </w:t>
      </w:r>
      <w:r>
        <w:rPr>
          <w:rFonts w:hint="eastAsia" w:ascii="宋体" w:hAnsi="宋体" w:cs="宋体"/>
          <w:sz w:val="24"/>
          <w:szCs w:val="24"/>
        </w:rPr>
        <w:t>人，营业收入为</w:t>
      </w:r>
      <w:r>
        <w:rPr>
          <w:rFonts w:hint="eastAsia" w:ascii="宋体" w:hAnsi="宋体" w:cs="宋体"/>
          <w:snapToGrid w:val="0"/>
          <w:kern w:val="0"/>
          <w:sz w:val="24"/>
          <w:szCs w:val="24"/>
          <w:u w:val="single"/>
        </w:rPr>
        <w:t xml:space="preserve">    </w:t>
      </w:r>
      <w:r>
        <w:rPr>
          <w:rFonts w:hint="eastAsia" w:ascii="宋体" w:hAnsi="宋体" w:cs="宋体"/>
          <w:sz w:val="24"/>
          <w:szCs w:val="24"/>
        </w:rPr>
        <w:t>万元，资产总额为</w:t>
      </w:r>
      <w:r>
        <w:rPr>
          <w:rFonts w:hint="eastAsia" w:ascii="宋体" w:hAnsi="宋体" w:cs="宋体"/>
          <w:snapToGrid w:val="0"/>
          <w:kern w:val="0"/>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本企业对上述声明内容的真实性负责。如有虚假，将依法承担相应责任。 </w:t>
      </w:r>
    </w:p>
    <w:p>
      <w:pPr>
        <w:spacing w:line="560" w:lineRule="exact"/>
        <w:ind w:firstLine="480" w:firstLineChars="200"/>
        <w:rPr>
          <w:rFonts w:ascii="宋体" w:hAnsi="宋体" w:cs="宋体"/>
          <w:sz w:val="24"/>
          <w:szCs w:val="24"/>
        </w:rPr>
      </w:pPr>
    </w:p>
    <w:p>
      <w:pPr>
        <w:spacing w:line="560" w:lineRule="exact"/>
        <w:ind w:firstLine="480" w:firstLineChars="200"/>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right="79" w:firstLine="4560" w:firstLineChars="1900"/>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pStyle w:val="20"/>
        <w:keepNext w:val="0"/>
        <w:keepLines w:val="0"/>
        <w:pageBreakBefore w:val="0"/>
        <w:widowControl w:val="0"/>
        <w:kinsoku/>
        <w:wordWrap/>
        <w:overflowPunct/>
        <w:topLinePunct w:val="0"/>
        <w:autoSpaceDE/>
        <w:autoSpaceDN/>
        <w:bidi w:val="0"/>
        <w:adjustRightInd/>
        <w:snapToGrid w:val="0"/>
        <w:spacing w:line="360" w:lineRule="auto"/>
        <w:ind w:right="415" w:firstLine="4564" w:firstLineChars="1902"/>
        <w:textAlignment w:val="baseline"/>
        <w:rPr>
          <w:rFonts w:ascii="宋体" w:hAnsi="宋体" w:cs="宋体"/>
          <w:szCs w:val="24"/>
        </w:rPr>
      </w:pPr>
      <w:r>
        <w:rPr>
          <w:rFonts w:hint="eastAsia" w:ascii="宋体" w:hAnsi="宋体" w:cs="宋体"/>
          <w:color w:val="000000"/>
          <w:sz w:val="24"/>
          <w:szCs w:val="24"/>
        </w:rPr>
        <w:t>法定代表人或被授权人：（签字或盖章）</w:t>
      </w:r>
    </w:p>
    <w:p>
      <w:pPr>
        <w:spacing w:line="560" w:lineRule="exact"/>
        <w:ind w:firstLine="5040" w:firstLineChars="2400"/>
        <w:rPr>
          <w:rFonts w:ascii="宋体" w:hAnsi="宋体" w:cs="宋体"/>
          <w:sz w:val="24"/>
          <w:szCs w:val="24"/>
        </w:rPr>
      </w:pPr>
      <w:r>
        <w:rPr>
          <w:rFonts w:hint="eastAsia" w:ascii="宋体" w:hAnsi="宋体" w:cs="宋体"/>
          <w:szCs w:val="24"/>
          <w:lang w:val="en-US" w:eastAsia="zh-CN"/>
        </w:rPr>
        <w:t xml:space="preserve">    </w:t>
      </w:r>
      <w:r>
        <w:rPr>
          <w:rFonts w:hint="eastAsia" w:ascii="宋体" w:hAnsi="宋体" w:cs="宋体"/>
          <w:szCs w:val="24"/>
        </w:rPr>
        <w:t xml:space="preserve">      年      月     日</w:t>
      </w:r>
    </w:p>
    <w:p>
      <w:pPr>
        <w:spacing w:line="560" w:lineRule="exact"/>
        <w:ind w:firstLine="480" w:firstLineChars="200"/>
        <w:rPr>
          <w:rFonts w:ascii="宋体" w:hAnsi="宋体" w:cs="宋体"/>
          <w:sz w:val="24"/>
          <w:szCs w:val="24"/>
        </w:rPr>
      </w:pPr>
    </w:p>
    <w:p>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pPr>
        <w:spacing w:line="560" w:lineRule="exact"/>
        <w:ind w:firstLine="422" w:firstLineChars="200"/>
        <w:rPr>
          <w:rFonts w:ascii="宋体" w:hAnsi="宋体" w:cs="宋体"/>
        </w:rPr>
      </w:pPr>
      <w:r>
        <w:rPr>
          <w:rFonts w:hint="eastAsia" w:ascii="宋体" w:hAnsi="宋体" w:cs="宋体"/>
          <w:b/>
          <w:bCs/>
        </w:rPr>
        <w:t>（3）本项目不享受中小企业扶持政策的磋商供应商，无须提供“中小企业声明函”。</w:t>
      </w:r>
    </w:p>
    <w:p>
      <w:pPr>
        <w:widowControl/>
        <w:jc w:val="left"/>
        <w:rPr>
          <w:rFonts w:ascii="宋体" w:hAnsi="宋体" w:cs="宋体"/>
          <w:sz w:val="24"/>
          <w:szCs w:val="24"/>
        </w:rPr>
      </w:pPr>
    </w:p>
    <w:p>
      <w:pPr>
        <w:pStyle w:val="2"/>
      </w:pPr>
    </w:p>
    <w:p>
      <w:pPr>
        <w:pStyle w:val="2"/>
      </w:pPr>
    </w:p>
    <w:p>
      <w:pPr>
        <w:pStyle w:val="2"/>
      </w:pPr>
    </w:p>
    <w:p>
      <w:pPr>
        <w:pStyle w:val="2"/>
      </w:pPr>
    </w:p>
    <w:p>
      <w:pPr>
        <w:widowControl/>
        <w:jc w:val="center"/>
        <w:rPr>
          <w:rFonts w:ascii="宋体"/>
          <w:b/>
          <w:bCs/>
          <w:color w:val="000000"/>
          <w:sz w:val="24"/>
          <w:szCs w:val="24"/>
        </w:rPr>
      </w:pPr>
      <w:r>
        <w:rPr>
          <w:b/>
          <w:bCs/>
          <w:sz w:val="24"/>
          <w:szCs w:val="24"/>
        </w:rPr>
        <w:t>……</w:t>
      </w:r>
      <w:r>
        <w:rPr>
          <w:rFonts w:hint="eastAsia" w:cs="宋体"/>
          <w:b/>
          <w:bCs/>
          <w:sz w:val="24"/>
          <w:szCs w:val="24"/>
        </w:rPr>
        <w:t>全文结束</w:t>
      </w:r>
      <w:r>
        <w:rPr>
          <w:b/>
          <w:bCs/>
          <w:sz w:val="24"/>
          <w:szCs w:val="24"/>
        </w:rPr>
        <w:t>……</w:t>
      </w:r>
    </w:p>
    <w:sectPr>
      <w:pgSz w:w="11906" w:h="16838"/>
      <w:pgMar w:top="1361" w:right="1191" w:bottom="1191" w:left="1361" w:header="851" w:footer="760"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
    <w:altName w:val="宋体"/>
    <w:panose1 w:val="00000000000000000000"/>
    <w:charset w:val="86"/>
    <w:family w:val="auto"/>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Open Sans">
    <w:altName w:val="Arial"/>
    <w:panose1 w:val="00000000000000000000"/>
    <w:charset w:val="00"/>
    <w:family w:val="swiss"/>
    <w:pitch w:val="default"/>
    <w:sig w:usb0="00000000" w:usb1="00000000" w:usb2="00000028" w:usb3="00000000" w:csb0="0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drawing>
        <wp:inline distT="0" distB="0" distL="0" distR="0">
          <wp:extent cx="569595" cy="353695"/>
          <wp:effectExtent l="0" t="0" r="1905" b="8255"/>
          <wp:docPr id="1" name="图片 1"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万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9595" cy="353695"/>
                  </a:xfrm>
                  <a:prstGeom prst="rect">
                    <a:avLst/>
                  </a:prstGeom>
                  <a:noFill/>
                  <a:ln>
                    <a:noFill/>
                  </a:ln>
                </pic:spPr>
              </pic:pic>
            </a:graphicData>
          </a:graphic>
        </wp:inline>
      </w:drawing>
    </w:r>
    <w:r>
      <w:rPr>
        <w:rFonts w:hint="eastAsia"/>
      </w:rPr>
      <w:t xml:space="preserve">                                                                                          </w:t>
    </w:r>
    <w:r>
      <w:fldChar w:fldCharType="begin"/>
    </w:r>
    <w:r>
      <w:instrText xml:space="preserve">PAGE   \* MERGEFORMAT</w:instrText>
    </w:r>
    <w:r>
      <w:fldChar w:fldCharType="separate"/>
    </w:r>
    <w:r>
      <w:rPr>
        <w:lang w:val="zh-CN"/>
      </w:rPr>
      <w:t>7</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left"/>
      <w:rPr>
        <w:rFonts w:ascii="宋体" w:hAnsi="宋体" w:cs="Arial"/>
        <w:bCs/>
        <w:u w:val="single"/>
      </w:rPr>
    </w:pPr>
    <w:r>
      <w:rPr>
        <w:rFonts w:hint="eastAsia" w:ascii="宋体" w:hAnsi="宋体" w:cs="Arial"/>
        <w:bCs/>
        <w:u w:val="single"/>
      </w:rPr>
      <w:t>南通市妇幼保健院出生医学证明进馆档案整理服务项目                                 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D"/>
    <w:multiLevelType w:val="multilevel"/>
    <w:tmpl w:val="0000003D"/>
    <w:lvl w:ilvl="0" w:tentative="0">
      <w:start w:val="1"/>
      <w:numFmt w:val="chineseCountingThousand"/>
      <w:pStyle w:val="6"/>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1">
    <w:nsid w:val="51C948BC"/>
    <w:multiLevelType w:val="multilevel"/>
    <w:tmpl w:val="51C948BC"/>
    <w:lvl w:ilvl="0" w:tentative="0">
      <w:start w:val="5"/>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4"/>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2"/>
  </w:compat>
  <w:rsids>
    <w:rsidRoot w:val="00172A27"/>
    <w:rsid w:val="000006D4"/>
    <w:rsid w:val="00002179"/>
    <w:rsid w:val="000022F7"/>
    <w:rsid w:val="000058C1"/>
    <w:rsid w:val="00005F7A"/>
    <w:rsid w:val="00007F59"/>
    <w:rsid w:val="0001029F"/>
    <w:rsid w:val="000102D4"/>
    <w:rsid w:val="00010412"/>
    <w:rsid w:val="00011339"/>
    <w:rsid w:val="00012039"/>
    <w:rsid w:val="00013D94"/>
    <w:rsid w:val="0001535A"/>
    <w:rsid w:val="00016294"/>
    <w:rsid w:val="000170B1"/>
    <w:rsid w:val="000208F7"/>
    <w:rsid w:val="000210F3"/>
    <w:rsid w:val="00021AC4"/>
    <w:rsid w:val="00021EFF"/>
    <w:rsid w:val="00021FC4"/>
    <w:rsid w:val="00023B39"/>
    <w:rsid w:val="00023F8C"/>
    <w:rsid w:val="0002545F"/>
    <w:rsid w:val="000259B3"/>
    <w:rsid w:val="00026307"/>
    <w:rsid w:val="00026B68"/>
    <w:rsid w:val="00026C9D"/>
    <w:rsid w:val="00027276"/>
    <w:rsid w:val="00030868"/>
    <w:rsid w:val="00032C50"/>
    <w:rsid w:val="00034047"/>
    <w:rsid w:val="0003602F"/>
    <w:rsid w:val="000361E7"/>
    <w:rsid w:val="00036EA9"/>
    <w:rsid w:val="00037B25"/>
    <w:rsid w:val="00037B3B"/>
    <w:rsid w:val="0004069A"/>
    <w:rsid w:val="00040995"/>
    <w:rsid w:val="00043090"/>
    <w:rsid w:val="00043510"/>
    <w:rsid w:val="000438F6"/>
    <w:rsid w:val="0004431A"/>
    <w:rsid w:val="00047077"/>
    <w:rsid w:val="0004789D"/>
    <w:rsid w:val="00047A0C"/>
    <w:rsid w:val="00047C86"/>
    <w:rsid w:val="00050981"/>
    <w:rsid w:val="00050BBD"/>
    <w:rsid w:val="0005175F"/>
    <w:rsid w:val="0005326A"/>
    <w:rsid w:val="00054028"/>
    <w:rsid w:val="00056E5D"/>
    <w:rsid w:val="0005762B"/>
    <w:rsid w:val="000606F5"/>
    <w:rsid w:val="00061084"/>
    <w:rsid w:val="00062482"/>
    <w:rsid w:val="00063304"/>
    <w:rsid w:val="000643A3"/>
    <w:rsid w:val="00065064"/>
    <w:rsid w:val="000655FD"/>
    <w:rsid w:val="0006591D"/>
    <w:rsid w:val="00065E68"/>
    <w:rsid w:val="00066618"/>
    <w:rsid w:val="00067ED5"/>
    <w:rsid w:val="00071345"/>
    <w:rsid w:val="00071716"/>
    <w:rsid w:val="00071F45"/>
    <w:rsid w:val="000732AD"/>
    <w:rsid w:val="00074B89"/>
    <w:rsid w:val="000753FB"/>
    <w:rsid w:val="00080C62"/>
    <w:rsid w:val="00083910"/>
    <w:rsid w:val="0008417E"/>
    <w:rsid w:val="00084BCE"/>
    <w:rsid w:val="00084C42"/>
    <w:rsid w:val="00084E31"/>
    <w:rsid w:val="00085279"/>
    <w:rsid w:val="0008531E"/>
    <w:rsid w:val="00085F8A"/>
    <w:rsid w:val="00090781"/>
    <w:rsid w:val="00092F1D"/>
    <w:rsid w:val="000939C5"/>
    <w:rsid w:val="00094062"/>
    <w:rsid w:val="000978C3"/>
    <w:rsid w:val="00097CA4"/>
    <w:rsid w:val="000A2C95"/>
    <w:rsid w:val="000A2F0D"/>
    <w:rsid w:val="000A2F79"/>
    <w:rsid w:val="000A4702"/>
    <w:rsid w:val="000A61C1"/>
    <w:rsid w:val="000A710B"/>
    <w:rsid w:val="000B2047"/>
    <w:rsid w:val="000B2801"/>
    <w:rsid w:val="000B2AAA"/>
    <w:rsid w:val="000B36F8"/>
    <w:rsid w:val="000B38FB"/>
    <w:rsid w:val="000B410A"/>
    <w:rsid w:val="000B4A07"/>
    <w:rsid w:val="000B683D"/>
    <w:rsid w:val="000B7A08"/>
    <w:rsid w:val="000C2F11"/>
    <w:rsid w:val="000C3BB3"/>
    <w:rsid w:val="000C3D37"/>
    <w:rsid w:val="000C3E5E"/>
    <w:rsid w:val="000C4549"/>
    <w:rsid w:val="000C4679"/>
    <w:rsid w:val="000C4935"/>
    <w:rsid w:val="000C57D0"/>
    <w:rsid w:val="000C6560"/>
    <w:rsid w:val="000D01BD"/>
    <w:rsid w:val="000D0FEA"/>
    <w:rsid w:val="000D121D"/>
    <w:rsid w:val="000D204D"/>
    <w:rsid w:val="000D2C01"/>
    <w:rsid w:val="000D4C32"/>
    <w:rsid w:val="000D694F"/>
    <w:rsid w:val="000D6B7D"/>
    <w:rsid w:val="000D6E50"/>
    <w:rsid w:val="000E3BD1"/>
    <w:rsid w:val="000E426C"/>
    <w:rsid w:val="000E6603"/>
    <w:rsid w:val="000E66F3"/>
    <w:rsid w:val="000E6E88"/>
    <w:rsid w:val="000E7578"/>
    <w:rsid w:val="000F1B7A"/>
    <w:rsid w:val="000F4922"/>
    <w:rsid w:val="000F5A57"/>
    <w:rsid w:val="000F5FA1"/>
    <w:rsid w:val="000F68D9"/>
    <w:rsid w:val="000F7233"/>
    <w:rsid w:val="00100AF9"/>
    <w:rsid w:val="00100FE7"/>
    <w:rsid w:val="00101A31"/>
    <w:rsid w:val="001020F7"/>
    <w:rsid w:val="001033A7"/>
    <w:rsid w:val="001033F5"/>
    <w:rsid w:val="00103D77"/>
    <w:rsid w:val="00105BBC"/>
    <w:rsid w:val="001062B6"/>
    <w:rsid w:val="00110BA5"/>
    <w:rsid w:val="00111BAE"/>
    <w:rsid w:val="0011354B"/>
    <w:rsid w:val="00113EAD"/>
    <w:rsid w:val="0011474C"/>
    <w:rsid w:val="00114762"/>
    <w:rsid w:val="00116037"/>
    <w:rsid w:val="00120CE9"/>
    <w:rsid w:val="00121B03"/>
    <w:rsid w:val="0012385D"/>
    <w:rsid w:val="00123BD5"/>
    <w:rsid w:val="00123DCE"/>
    <w:rsid w:val="00124152"/>
    <w:rsid w:val="00125073"/>
    <w:rsid w:val="0012547F"/>
    <w:rsid w:val="001254CE"/>
    <w:rsid w:val="00125CAE"/>
    <w:rsid w:val="001260A9"/>
    <w:rsid w:val="00126468"/>
    <w:rsid w:val="00127592"/>
    <w:rsid w:val="00130109"/>
    <w:rsid w:val="0013050F"/>
    <w:rsid w:val="00130C9F"/>
    <w:rsid w:val="00131063"/>
    <w:rsid w:val="0013196F"/>
    <w:rsid w:val="0013239E"/>
    <w:rsid w:val="00132A4A"/>
    <w:rsid w:val="00133CBD"/>
    <w:rsid w:val="00135173"/>
    <w:rsid w:val="001353CC"/>
    <w:rsid w:val="00135725"/>
    <w:rsid w:val="00136A1B"/>
    <w:rsid w:val="00136FE5"/>
    <w:rsid w:val="00140EE3"/>
    <w:rsid w:val="001419C0"/>
    <w:rsid w:val="00141EA3"/>
    <w:rsid w:val="00141F4D"/>
    <w:rsid w:val="0014374E"/>
    <w:rsid w:val="001441AA"/>
    <w:rsid w:val="00147EB5"/>
    <w:rsid w:val="001505CF"/>
    <w:rsid w:val="00150875"/>
    <w:rsid w:val="00150AED"/>
    <w:rsid w:val="00150D75"/>
    <w:rsid w:val="001528E4"/>
    <w:rsid w:val="00155007"/>
    <w:rsid w:val="00157327"/>
    <w:rsid w:val="00157366"/>
    <w:rsid w:val="00157C2B"/>
    <w:rsid w:val="00162D93"/>
    <w:rsid w:val="00163E65"/>
    <w:rsid w:val="001663EB"/>
    <w:rsid w:val="00172A27"/>
    <w:rsid w:val="00173584"/>
    <w:rsid w:val="0017595C"/>
    <w:rsid w:val="00175A14"/>
    <w:rsid w:val="00180470"/>
    <w:rsid w:val="0018121E"/>
    <w:rsid w:val="00181ECB"/>
    <w:rsid w:val="001826D3"/>
    <w:rsid w:val="0018394A"/>
    <w:rsid w:val="0018404A"/>
    <w:rsid w:val="0018449F"/>
    <w:rsid w:val="00185FF3"/>
    <w:rsid w:val="00186A58"/>
    <w:rsid w:val="0019039D"/>
    <w:rsid w:val="00191BBF"/>
    <w:rsid w:val="00192AB4"/>
    <w:rsid w:val="0019427E"/>
    <w:rsid w:val="001976BE"/>
    <w:rsid w:val="001A027F"/>
    <w:rsid w:val="001A0983"/>
    <w:rsid w:val="001A0F70"/>
    <w:rsid w:val="001A11B6"/>
    <w:rsid w:val="001A19A3"/>
    <w:rsid w:val="001A41BA"/>
    <w:rsid w:val="001A5C6D"/>
    <w:rsid w:val="001A768F"/>
    <w:rsid w:val="001A7918"/>
    <w:rsid w:val="001B0894"/>
    <w:rsid w:val="001B11EE"/>
    <w:rsid w:val="001B1ED1"/>
    <w:rsid w:val="001B271D"/>
    <w:rsid w:val="001B3C89"/>
    <w:rsid w:val="001B4D1C"/>
    <w:rsid w:val="001B4E47"/>
    <w:rsid w:val="001B56E3"/>
    <w:rsid w:val="001B5775"/>
    <w:rsid w:val="001B5A1E"/>
    <w:rsid w:val="001B5D81"/>
    <w:rsid w:val="001B5FCD"/>
    <w:rsid w:val="001B6B02"/>
    <w:rsid w:val="001C0CA4"/>
    <w:rsid w:val="001C2231"/>
    <w:rsid w:val="001C2BA4"/>
    <w:rsid w:val="001C63D3"/>
    <w:rsid w:val="001C6469"/>
    <w:rsid w:val="001C6633"/>
    <w:rsid w:val="001D0AEE"/>
    <w:rsid w:val="001D1E4A"/>
    <w:rsid w:val="001D219E"/>
    <w:rsid w:val="001D2305"/>
    <w:rsid w:val="001D588C"/>
    <w:rsid w:val="001D60DD"/>
    <w:rsid w:val="001D679F"/>
    <w:rsid w:val="001E056A"/>
    <w:rsid w:val="001E1233"/>
    <w:rsid w:val="001E215A"/>
    <w:rsid w:val="001E2C5B"/>
    <w:rsid w:val="001E3534"/>
    <w:rsid w:val="001E48AB"/>
    <w:rsid w:val="001E7B4E"/>
    <w:rsid w:val="001F08D8"/>
    <w:rsid w:val="001F0B9A"/>
    <w:rsid w:val="001F1E07"/>
    <w:rsid w:val="001F3290"/>
    <w:rsid w:val="001F3480"/>
    <w:rsid w:val="001F4880"/>
    <w:rsid w:val="001F4C7A"/>
    <w:rsid w:val="001F5A4B"/>
    <w:rsid w:val="001F650B"/>
    <w:rsid w:val="001F7047"/>
    <w:rsid w:val="001F77C4"/>
    <w:rsid w:val="001F7E5C"/>
    <w:rsid w:val="00200061"/>
    <w:rsid w:val="00201B85"/>
    <w:rsid w:val="0020274B"/>
    <w:rsid w:val="00203827"/>
    <w:rsid w:val="00205B53"/>
    <w:rsid w:val="00205D1F"/>
    <w:rsid w:val="002061A3"/>
    <w:rsid w:val="00206420"/>
    <w:rsid w:val="00206AA7"/>
    <w:rsid w:val="00206AF1"/>
    <w:rsid w:val="00207784"/>
    <w:rsid w:val="0020792E"/>
    <w:rsid w:val="00207F85"/>
    <w:rsid w:val="00210188"/>
    <w:rsid w:val="00210276"/>
    <w:rsid w:val="00210727"/>
    <w:rsid w:val="00210A5D"/>
    <w:rsid w:val="00211E09"/>
    <w:rsid w:val="002123BB"/>
    <w:rsid w:val="002135CF"/>
    <w:rsid w:val="00213AE5"/>
    <w:rsid w:val="002153B5"/>
    <w:rsid w:val="0021555D"/>
    <w:rsid w:val="00216298"/>
    <w:rsid w:val="00216C28"/>
    <w:rsid w:val="002200C5"/>
    <w:rsid w:val="00220519"/>
    <w:rsid w:val="00220A88"/>
    <w:rsid w:val="00221689"/>
    <w:rsid w:val="0022226C"/>
    <w:rsid w:val="00223466"/>
    <w:rsid w:val="00224F5F"/>
    <w:rsid w:val="00225670"/>
    <w:rsid w:val="002257D7"/>
    <w:rsid w:val="00225D08"/>
    <w:rsid w:val="00225DFC"/>
    <w:rsid w:val="00230AA8"/>
    <w:rsid w:val="00231148"/>
    <w:rsid w:val="002315E8"/>
    <w:rsid w:val="00232238"/>
    <w:rsid w:val="0023363F"/>
    <w:rsid w:val="00235015"/>
    <w:rsid w:val="00236026"/>
    <w:rsid w:val="00236425"/>
    <w:rsid w:val="0023654C"/>
    <w:rsid w:val="00236AC8"/>
    <w:rsid w:val="00237122"/>
    <w:rsid w:val="00240EF7"/>
    <w:rsid w:val="002416D0"/>
    <w:rsid w:val="00241A08"/>
    <w:rsid w:val="002432F4"/>
    <w:rsid w:val="00244568"/>
    <w:rsid w:val="00245B72"/>
    <w:rsid w:val="002460F0"/>
    <w:rsid w:val="002465F4"/>
    <w:rsid w:val="00246FA2"/>
    <w:rsid w:val="00247445"/>
    <w:rsid w:val="00247ACB"/>
    <w:rsid w:val="002509ED"/>
    <w:rsid w:val="002514E9"/>
    <w:rsid w:val="00251B7D"/>
    <w:rsid w:val="00253EE7"/>
    <w:rsid w:val="00253F6B"/>
    <w:rsid w:val="002546DD"/>
    <w:rsid w:val="00257B1F"/>
    <w:rsid w:val="00260193"/>
    <w:rsid w:val="00260CD4"/>
    <w:rsid w:val="002611FD"/>
    <w:rsid w:val="00261BC6"/>
    <w:rsid w:val="002627DB"/>
    <w:rsid w:val="00264CCF"/>
    <w:rsid w:val="00264F66"/>
    <w:rsid w:val="002656FE"/>
    <w:rsid w:val="00265BBD"/>
    <w:rsid w:val="00266DB4"/>
    <w:rsid w:val="0026722D"/>
    <w:rsid w:val="0027000C"/>
    <w:rsid w:val="00271E05"/>
    <w:rsid w:val="00273539"/>
    <w:rsid w:val="00273EEB"/>
    <w:rsid w:val="002743B2"/>
    <w:rsid w:val="00275074"/>
    <w:rsid w:val="00275A33"/>
    <w:rsid w:val="00275DE2"/>
    <w:rsid w:val="00277459"/>
    <w:rsid w:val="002818BB"/>
    <w:rsid w:val="002826CF"/>
    <w:rsid w:val="0028529A"/>
    <w:rsid w:val="00286C9C"/>
    <w:rsid w:val="002873B8"/>
    <w:rsid w:val="002906BE"/>
    <w:rsid w:val="0029071A"/>
    <w:rsid w:val="00290757"/>
    <w:rsid w:val="00290992"/>
    <w:rsid w:val="00291332"/>
    <w:rsid w:val="00291738"/>
    <w:rsid w:val="00291CC6"/>
    <w:rsid w:val="00292339"/>
    <w:rsid w:val="0029475A"/>
    <w:rsid w:val="0029796E"/>
    <w:rsid w:val="00297DAD"/>
    <w:rsid w:val="002A09EE"/>
    <w:rsid w:val="002A0AFB"/>
    <w:rsid w:val="002A1319"/>
    <w:rsid w:val="002A1F74"/>
    <w:rsid w:val="002A1F8F"/>
    <w:rsid w:val="002A2D12"/>
    <w:rsid w:val="002A2F7D"/>
    <w:rsid w:val="002A4682"/>
    <w:rsid w:val="002A7980"/>
    <w:rsid w:val="002B46CE"/>
    <w:rsid w:val="002B7251"/>
    <w:rsid w:val="002B771D"/>
    <w:rsid w:val="002B77A5"/>
    <w:rsid w:val="002B7819"/>
    <w:rsid w:val="002B7BE5"/>
    <w:rsid w:val="002B7CFD"/>
    <w:rsid w:val="002C2290"/>
    <w:rsid w:val="002C3237"/>
    <w:rsid w:val="002C5470"/>
    <w:rsid w:val="002C564D"/>
    <w:rsid w:val="002C619D"/>
    <w:rsid w:val="002C71C8"/>
    <w:rsid w:val="002C7DA3"/>
    <w:rsid w:val="002D0B1D"/>
    <w:rsid w:val="002D0F06"/>
    <w:rsid w:val="002D14FC"/>
    <w:rsid w:val="002D1724"/>
    <w:rsid w:val="002D1F47"/>
    <w:rsid w:val="002D7709"/>
    <w:rsid w:val="002D7C7B"/>
    <w:rsid w:val="002D7C8B"/>
    <w:rsid w:val="002E0741"/>
    <w:rsid w:val="002E214B"/>
    <w:rsid w:val="002E2E8F"/>
    <w:rsid w:val="002E385C"/>
    <w:rsid w:val="002E5876"/>
    <w:rsid w:val="002E5B21"/>
    <w:rsid w:val="002E62B0"/>
    <w:rsid w:val="002F05E6"/>
    <w:rsid w:val="002F0992"/>
    <w:rsid w:val="002F0F93"/>
    <w:rsid w:val="002F1F61"/>
    <w:rsid w:val="002F2C1A"/>
    <w:rsid w:val="002F2F03"/>
    <w:rsid w:val="002F677F"/>
    <w:rsid w:val="00300B89"/>
    <w:rsid w:val="00300D2E"/>
    <w:rsid w:val="0030187C"/>
    <w:rsid w:val="00301C7D"/>
    <w:rsid w:val="00301F51"/>
    <w:rsid w:val="00301F93"/>
    <w:rsid w:val="00303A7A"/>
    <w:rsid w:val="00304891"/>
    <w:rsid w:val="00304939"/>
    <w:rsid w:val="00305B2D"/>
    <w:rsid w:val="00305C22"/>
    <w:rsid w:val="003074BF"/>
    <w:rsid w:val="00307ADC"/>
    <w:rsid w:val="00307CAE"/>
    <w:rsid w:val="00307CD3"/>
    <w:rsid w:val="003101C1"/>
    <w:rsid w:val="00311FE4"/>
    <w:rsid w:val="00312648"/>
    <w:rsid w:val="00314EA0"/>
    <w:rsid w:val="00316155"/>
    <w:rsid w:val="003166E9"/>
    <w:rsid w:val="003175A8"/>
    <w:rsid w:val="0032064F"/>
    <w:rsid w:val="00322D1C"/>
    <w:rsid w:val="003302AC"/>
    <w:rsid w:val="003311BA"/>
    <w:rsid w:val="00331BE9"/>
    <w:rsid w:val="003324C4"/>
    <w:rsid w:val="003327EC"/>
    <w:rsid w:val="00332927"/>
    <w:rsid w:val="00332C69"/>
    <w:rsid w:val="0033309E"/>
    <w:rsid w:val="003339B0"/>
    <w:rsid w:val="00333A9A"/>
    <w:rsid w:val="00335723"/>
    <w:rsid w:val="003358D8"/>
    <w:rsid w:val="0033646F"/>
    <w:rsid w:val="0033715A"/>
    <w:rsid w:val="003420C7"/>
    <w:rsid w:val="003428D6"/>
    <w:rsid w:val="00342AEC"/>
    <w:rsid w:val="003433B6"/>
    <w:rsid w:val="00343431"/>
    <w:rsid w:val="00343F86"/>
    <w:rsid w:val="00344E8F"/>
    <w:rsid w:val="00346FA1"/>
    <w:rsid w:val="00346FD1"/>
    <w:rsid w:val="00347DEF"/>
    <w:rsid w:val="00350C1C"/>
    <w:rsid w:val="0035108C"/>
    <w:rsid w:val="00352868"/>
    <w:rsid w:val="0035375B"/>
    <w:rsid w:val="00354B45"/>
    <w:rsid w:val="003550F1"/>
    <w:rsid w:val="003551AD"/>
    <w:rsid w:val="00355DBE"/>
    <w:rsid w:val="00355E83"/>
    <w:rsid w:val="00356203"/>
    <w:rsid w:val="00356CA9"/>
    <w:rsid w:val="00360062"/>
    <w:rsid w:val="00363350"/>
    <w:rsid w:val="0036410C"/>
    <w:rsid w:val="003643E9"/>
    <w:rsid w:val="00370706"/>
    <w:rsid w:val="00372BAE"/>
    <w:rsid w:val="00372FCE"/>
    <w:rsid w:val="003740F9"/>
    <w:rsid w:val="00374A3F"/>
    <w:rsid w:val="00374DDC"/>
    <w:rsid w:val="003756AF"/>
    <w:rsid w:val="00375C94"/>
    <w:rsid w:val="00376DB0"/>
    <w:rsid w:val="003775EA"/>
    <w:rsid w:val="0038126A"/>
    <w:rsid w:val="003817E3"/>
    <w:rsid w:val="003818ED"/>
    <w:rsid w:val="00381D1E"/>
    <w:rsid w:val="00381EBE"/>
    <w:rsid w:val="00383090"/>
    <w:rsid w:val="003840DB"/>
    <w:rsid w:val="0038506A"/>
    <w:rsid w:val="003851DA"/>
    <w:rsid w:val="003858EF"/>
    <w:rsid w:val="0038623A"/>
    <w:rsid w:val="00391804"/>
    <w:rsid w:val="00391D94"/>
    <w:rsid w:val="00394803"/>
    <w:rsid w:val="003952FB"/>
    <w:rsid w:val="00396574"/>
    <w:rsid w:val="003967B3"/>
    <w:rsid w:val="00396B74"/>
    <w:rsid w:val="00397129"/>
    <w:rsid w:val="003975A5"/>
    <w:rsid w:val="0039790E"/>
    <w:rsid w:val="00397C9B"/>
    <w:rsid w:val="003A01C6"/>
    <w:rsid w:val="003A0D93"/>
    <w:rsid w:val="003A27DE"/>
    <w:rsid w:val="003A2812"/>
    <w:rsid w:val="003A2E07"/>
    <w:rsid w:val="003A3389"/>
    <w:rsid w:val="003A3BAC"/>
    <w:rsid w:val="003A4F37"/>
    <w:rsid w:val="003A5164"/>
    <w:rsid w:val="003A5379"/>
    <w:rsid w:val="003A57BD"/>
    <w:rsid w:val="003A5BBC"/>
    <w:rsid w:val="003A73CE"/>
    <w:rsid w:val="003A766C"/>
    <w:rsid w:val="003B0FD2"/>
    <w:rsid w:val="003B16D6"/>
    <w:rsid w:val="003B1B99"/>
    <w:rsid w:val="003B5138"/>
    <w:rsid w:val="003B630D"/>
    <w:rsid w:val="003B699F"/>
    <w:rsid w:val="003B7DDD"/>
    <w:rsid w:val="003C022A"/>
    <w:rsid w:val="003C286E"/>
    <w:rsid w:val="003C2930"/>
    <w:rsid w:val="003C3389"/>
    <w:rsid w:val="003C3B53"/>
    <w:rsid w:val="003C4036"/>
    <w:rsid w:val="003C56C7"/>
    <w:rsid w:val="003C7425"/>
    <w:rsid w:val="003C74E8"/>
    <w:rsid w:val="003D0A3A"/>
    <w:rsid w:val="003D148E"/>
    <w:rsid w:val="003D3215"/>
    <w:rsid w:val="003D44E5"/>
    <w:rsid w:val="003D5966"/>
    <w:rsid w:val="003D5B14"/>
    <w:rsid w:val="003D6CB7"/>
    <w:rsid w:val="003D751C"/>
    <w:rsid w:val="003D77DF"/>
    <w:rsid w:val="003D79CF"/>
    <w:rsid w:val="003D7D26"/>
    <w:rsid w:val="003E4F0B"/>
    <w:rsid w:val="003E4F8C"/>
    <w:rsid w:val="003E547D"/>
    <w:rsid w:val="003E54CB"/>
    <w:rsid w:val="003E5F57"/>
    <w:rsid w:val="003E6382"/>
    <w:rsid w:val="003E6CA3"/>
    <w:rsid w:val="003E6CCA"/>
    <w:rsid w:val="003E6D2E"/>
    <w:rsid w:val="003E7713"/>
    <w:rsid w:val="003E7950"/>
    <w:rsid w:val="003F4B46"/>
    <w:rsid w:val="003F61D6"/>
    <w:rsid w:val="003F61EF"/>
    <w:rsid w:val="00400684"/>
    <w:rsid w:val="00403824"/>
    <w:rsid w:val="00403D00"/>
    <w:rsid w:val="004050BB"/>
    <w:rsid w:val="0040560E"/>
    <w:rsid w:val="004059F8"/>
    <w:rsid w:val="004064B2"/>
    <w:rsid w:val="004067A9"/>
    <w:rsid w:val="00407C91"/>
    <w:rsid w:val="00407E08"/>
    <w:rsid w:val="004101C1"/>
    <w:rsid w:val="0041057A"/>
    <w:rsid w:val="004109EB"/>
    <w:rsid w:val="00411773"/>
    <w:rsid w:val="0041222B"/>
    <w:rsid w:val="0041539D"/>
    <w:rsid w:val="004161DA"/>
    <w:rsid w:val="00416484"/>
    <w:rsid w:val="00417B98"/>
    <w:rsid w:val="00420467"/>
    <w:rsid w:val="0042069E"/>
    <w:rsid w:val="00420773"/>
    <w:rsid w:val="00421BC3"/>
    <w:rsid w:val="0042219C"/>
    <w:rsid w:val="004237AE"/>
    <w:rsid w:val="00425454"/>
    <w:rsid w:val="00425FD6"/>
    <w:rsid w:val="00427217"/>
    <w:rsid w:val="00427784"/>
    <w:rsid w:val="004279C7"/>
    <w:rsid w:val="00430459"/>
    <w:rsid w:val="00431A6D"/>
    <w:rsid w:val="004326A8"/>
    <w:rsid w:val="0043369C"/>
    <w:rsid w:val="00433D36"/>
    <w:rsid w:val="00433D42"/>
    <w:rsid w:val="0043477C"/>
    <w:rsid w:val="00434E35"/>
    <w:rsid w:val="0043547B"/>
    <w:rsid w:val="00436C14"/>
    <w:rsid w:val="0043708A"/>
    <w:rsid w:val="00437C76"/>
    <w:rsid w:val="004402AE"/>
    <w:rsid w:val="0044058D"/>
    <w:rsid w:val="004461C3"/>
    <w:rsid w:val="00446DC9"/>
    <w:rsid w:val="00447B23"/>
    <w:rsid w:val="00447C56"/>
    <w:rsid w:val="00451E6C"/>
    <w:rsid w:val="00453C4A"/>
    <w:rsid w:val="00453E65"/>
    <w:rsid w:val="00455B13"/>
    <w:rsid w:val="00455D16"/>
    <w:rsid w:val="004561B2"/>
    <w:rsid w:val="0045785B"/>
    <w:rsid w:val="00457922"/>
    <w:rsid w:val="004601AD"/>
    <w:rsid w:val="004623F7"/>
    <w:rsid w:val="00462613"/>
    <w:rsid w:val="0046356E"/>
    <w:rsid w:val="0046402A"/>
    <w:rsid w:val="0046593A"/>
    <w:rsid w:val="00466B8E"/>
    <w:rsid w:val="00466BC9"/>
    <w:rsid w:val="00470DC8"/>
    <w:rsid w:val="004719DC"/>
    <w:rsid w:val="004721E5"/>
    <w:rsid w:val="004724C0"/>
    <w:rsid w:val="00473569"/>
    <w:rsid w:val="004742A5"/>
    <w:rsid w:val="004760D5"/>
    <w:rsid w:val="00476873"/>
    <w:rsid w:val="00476A36"/>
    <w:rsid w:val="004803AE"/>
    <w:rsid w:val="0048159E"/>
    <w:rsid w:val="004817D8"/>
    <w:rsid w:val="004820DF"/>
    <w:rsid w:val="00482A61"/>
    <w:rsid w:val="00483C21"/>
    <w:rsid w:val="004855CE"/>
    <w:rsid w:val="00485CD3"/>
    <w:rsid w:val="00485E3C"/>
    <w:rsid w:val="00485E86"/>
    <w:rsid w:val="00486441"/>
    <w:rsid w:val="004878BE"/>
    <w:rsid w:val="00490378"/>
    <w:rsid w:val="00490539"/>
    <w:rsid w:val="004907BB"/>
    <w:rsid w:val="00490AC6"/>
    <w:rsid w:val="00491943"/>
    <w:rsid w:val="00491967"/>
    <w:rsid w:val="00493E82"/>
    <w:rsid w:val="00496D73"/>
    <w:rsid w:val="004971A4"/>
    <w:rsid w:val="004A377D"/>
    <w:rsid w:val="004A3C51"/>
    <w:rsid w:val="004A3DFA"/>
    <w:rsid w:val="004A405A"/>
    <w:rsid w:val="004A56DD"/>
    <w:rsid w:val="004A5934"/>
    <w:rsid w:val="004A655A"/>
    <w:rsid w:val="004A751A"/>
    <w:rsid w:val="004A7F32"/>
    <w:rsid w:val="004B0AB2"/>
    <w:rsid w:val="004B1233"/>
    <w:rsid w:val="004B208A"/>
    <w:rsid w:val="004B3E21"/>
    <w:rsid w:val="004B6202"/>
    <w:rsid w:val="004B67DE"/>
    <w:rsid w:val="004B78A9"/>
    <w:rsid w:val="004B7D94"/>
    <w:rsid w:val="004C05C3"/>
    <w:rsid w:val="004C069D"/>
    <w:rsid w:val="004C06BA"/>
    <w:rsid w:val="004C0F26"/>
    <w:rsid w:val="004C13AB"/>
    <w:rsid w:val="004C2A62"/>
    <w:rsid w:val="004C3A69"/>
    <w:rsid w:val="004C420A"/>
    <w:rsid w:val="004C434E"/>
    <w:rsid w:val="004C5316"/>
    <w:rsid w:val="004C64D0"/>
    <w:rsid w:val="004C656B"/>
    <w:rsid w:val="004C7166"/>
    <w:rsid w:val="004D00F8"/>
    <w:rsid w:val="004D03C0"/>
    <w:rsid w:val="004D097D"/>
    <w:rsid w:val="004D110E"/>
    <w:rsid w:val="004D3A48"/>
    <w:rsid w:val="004D47B3"/>
    <w:rsid w:val="004D656B"/>
    <w:rsid w:val="004E21BF"/>
    <w:rsid w:val="004E3D39"/>
    <w:rsid w:val="004E4FB8"/>
    <w:rsid w:val="004E616E"/>
    <w:rsid w:val="004E704E"/>
    <w:rsid w:val="004F00A3"/>
    <w:rsid w:val="004F08B2"/>
    <w:rsid w:val="004F1B7C"/>
    <w:rsid w:val="004F262D"/>
    <w:rsid w:val="004F26E5"/>
    <w:rsid w:val="004F364D"/>
    <w:rsid w:val="004F3CE6"/>
    <w:rsid w:val="004F534F"/>
    <w:rsid w:val="004F6D64"/>
    <w:rsid w:val="004F716C"/>
    <w:rsid w:val="004F7AFA"/>
    <w:rsid w:val="004F7C86"/>
    <w:rsid w:val="005013D5"/>
    <w:rsid w:val="00503EBC"/>
    <w:rsid w:val="00504311"/>
    <w:rsid w:val="00504E28"/>
    <w:rsid w:val="00505215"/>
    <w:rsid w:val="0050541B"/>
    <w:rsid w:val="00506B00"/>
    <w:rsid w:val="00506F2F"/>
    <w:rsid w:val="005101C3"/>
    <w:rsid w:val="00510574"/>
    <w:rsid w:val="00510919"/>
    <w:rsid w:val="00510DDB"/>
    <w:rsid w:val="005129D6"/>
    <w:rsid w:val="005135BD"/>
    <w:rsid w:val="00513F04"/>
    <w:rsid w:val="00514F19"/>
    <w:rsid w:val="005164FD"/>
    <w:rsid w:val="0051662D"/>
    <w:rsid w:val="00516A3C"/>
    <w:rsid w:val="005177C6"/>
    <w:rsid w:val="00520670"/>
    <w:rsid w:val="00520D02"/>
    <w:rsid w:val="005211B4"/>
    <w:rsid w:val="005212FD"/>
    <w:rsid w:val="00523C05"/>
    <w:rsid w:val="00524448"/>
    <w:rsid w:val="005247BD"/>
    <w:rsid w:val="005257FA"/>
    <w:rsid w:val="00526435"/>
    <w:rsid w:val="005300E8"/>
    <w:rsid w:val="00530D51"/>
    <w:rsid w:val="00530FD4"/>
    <w:rsid w:val="005311AC"/>
    <w:rsid w:val="00531DCB"/>
    <w:rsid w:val="00532531"/>
    <w:rsid w:val="00532C54"/>
    <w:rsid w:val="005336E3"/>
    <w:rsid w:val="0053420A"/>
    <w:rsid w:val="00535171"/>
    <w:rsid w:val="00536249"/>
    <w:rsid w:val="00536D9C"/>
    <w:rsid w:val="0053747E"/>
    <w:rsid w:val="0053785D"/>
    <w:rsid w:val="00537AC2"/>
    <w:rsid w:val="00537AF6"/>
    <w:rsid w:val="00537DF0"/>
    <w:rsid w:val="00540018"/>
    <w:rsid w:val="00540647"/>
    <w:rsid w:val="005408A4"/>
    <w:rsid w:val="00540E45"/>
    <w:rsid w:val="005445F9"/>
    <w:rsid w:val="00546CE7"/>
    <w:rsid w:val="00547813"/>
    <w:rsid w:val="005478BE"/>
    <w:rsid w:val="00547A36"/>
    <w:rsid w:val="005502A1"/>
    <w:rsid w:val="005506EF"/>
    <w:rsid w:val="00551D57"/>
    <w:rsid w:val="005520FF"/>
    <w:rsid w:val="0055234E"/>
    <w:rsid w:val="00552715"/>
    <w:rsid w:val="00552F87"/>
    <w:rsid w:val="005542D7"/>
    <w:rsid w:val="00555558"/>
    <w:rsid w:val="00556AF7"/>
    <w:rsid w:val="00556E2C"/>
    <w:rsid w:val="005570A3"/>
    <w:rsid w:val="00560E05"/>
    <w:rsid w:val="00563197"/>
    <w:rsid w:val="0056421D"/>
    <w:rsid w:val="005653EC"/>
    <w:rsid w:val="00565752"/>
    <w:rsid w:val="005658DD"/>
    <w:rsid w:val="00566FDF"/>
    <w:rsid w:val="00567762"/>
    <w:rsid w:val="00570C05"/>
    <w:rsid w:val="00571014"/>
    <w:rsid w:val="00572893"/>
    <w:rsid w:val="00573D1A"/>
    <w:rsid w:val="0057478C"/>
    <w:rsid w:val="00574C7B"/>
    <w:rsid w:val="00574F86"/>
    <w:rsid w:val="00575A05"/>
    <w:rsid w:val="00575CC1"/>
    <w:rsid w:val="00575F45"/>
    <w:rsid w:val="0057645A"/>
    <w:rsid w:val="005767FE"/>
    <w:rsid w:val="00576BA1"/>
    <w:rsid w:val="00576E9C"/>
    <w:rsid w:val="0057709D"/>
    <w:rsid w:val="005804A2"/>
    <w:rsid w:val="00580A48"/>
    <w:rsid w:val="00580B43"/>
    <w:rsid w:val="00580CF8"/>
    <w:rsid w:val="005823FB"/>
    <w:rsid w:val="005843B8"/>
    <w:rsid w:val="005845C2"/>
    <w:rsid w:val="00584E65"/>
    <w:rsid w:val="00585154"/>
    <w:rsid w:val="00585A9F"/>
    <w:rsid w:val="00591060"/>
    <w:rsid w:val="0059151F"/>
    <w:rsid w:val="00591710"/>
    <w:rsid w:val="0059320F"/>
    <w:rsid w:val="00594010"/>
    <w:rsid w:val="0059426C"/>
    <w:rsid w:val="00594B7D"/>
    <w:rsid w:val="00594BBE"/>
    <w:rsid w:val="005951A4"/>
    <w:rsid w:val="005955DC"/>
    <w:rsid w:val="00595787"/>
    <w:rsid w:val="00595FA9"/>
    <w:rsid w:val="005972C3"/>
    <w:rsid w:val="005972FB"/>
    <w:rsid w:val="005A1C12"/>
    <w:rsid w:val="005A1C68"/>
    <w:rsid w:val="005A1E14"/>
    <w:rsid w:val="005A52A9"/>
    <w:rsid w:val="005A5690"/>
    <w:rsid w:val="005A60ED"/>
    <w:rsid w:val="005A62BD"/>
    <w:rsid w:val="005A673F"/>
    <w:rsid w:val="005A68E8"/>
    <w:rsid w:val="005A6D7A"/>
    <w:rsid w:val="005A6DE4"/>
    <w:rsid w:val="005B0274"/>
    <w:rsid w:val="005B1057"/>
    <w:rsid w:val="005B21DF"/>
    <w:rsid w:val="005B308C"/>
    <w:rsid w:val="005B4242"/>
    <w:rsid w:val="005B42FE"/>
    <w:rsid w:val="005B4C38"/>
    <w:rsid w:val="005B5C31"/>
    <w:rsid w:val="005B5DC2"/>
    <w:rsid w:val="005B61BC"/>
    <w:rsid w:val="005B6536"/>
    <w:rsid w:val="005B6991"/>
    <w:rsid w:val="005C0614"/>
    <w:rsid w:val="005C0967"/>
    <w:rsid w:val="005C176A"/>
    <w:rsid w:val="005C26EB"/>
    <w:rsid w:val="005C27FB"/>
    <w:rsid w:val="005C2B69"/>
    <w:rsid w:val="005D2865"/>
    <w:rsid w:val="005D2F1A"/>
    <w:rsid w:val="005D34C1"/>
    <w:rsid w:val="005D4622"/>
    <w:rsid w:val="005D60C9"/>
    <w:rsid w:val="005D6BB5"/>
    <w:rsid w:val="005D7C64"/>
    <w:rsid w:val="005E2161"/>
    <w:rsid w:val="005E2C37"/>
    <w:rsid w:val="005E2D56"/>
    <w:rsid w:val="005E33B3"/>
    <w:rsid w:val="005E3515"/>
    <w:rsid w:val="005E4300"/>
    <w:rsid w:val="005E5EDB"/>
    <w:rsid w:val="005E70E4"/>
    <w:rsid w:val="005E7AE6"/>
    <w:rsid w:val="005F0837"/>
    <w:rsid w:val="005F0E34"/>
    <w:rsid w:val="005F17AE"/>
    <w:rsid w:val="005F305C"/>
    <w:rsid w:val="005F44E9"/>
    <w:rsid w:val="00600D08"/>
    <w:rsid w:val="0060192A"/>
    <w:rsid w:val="00602994"/>
    <w:rsid w:val="00603887"/>
    <w:rsid w:val="00603A28"/>
    <w:rsid w:val="00603C34"/>
    <w:rsid w:val="0060422C"/>
    <w:rsid w:val="0060566C"/>
    <w:rsid w:val="0060670B"/>
    <w:rsid w:val="00606AE7"/>
    <w:rsid w:val="006073CE"/>
    <w:rsid w:val="00610A0F"/>
    <w:rsid w:val="00612AFC"/>
    <w:rsid w:val="00612E25"/>
    <w:rsid w:val="00613BDF"/>
    <w:rsid w:val="006147BD"/>
    <w:rsid w:val="00615CAD"/>
    <w:rsid w:val="00616EBB"/>
    <w:rsid w:val="0061787D"/>
    <w:rsid w:val="00617DC4"/>
    <w:rsid w:val="00621861"/>
    <w:rsid w:val="00622E32"/>
    <w:rsid w:val="006231DE"/>
    <w:rsid w:val="00623BD2"/>
    <w:rsid w:val="00624133"/>
    <w:rsid w:val="00624E4B"/>
    <w:rsid w:val="0062524B"/>
    <w:rsid w:val="00626C16"/>
    <w:rsid w:val="00627EC6"/>
    <w:rsid w:val="00630B33"/>
    <w:rsid w:val="00631AE1"/>
    <w:rsid w:val="00634A7D"/>
    <w:rsid w:val="00634F85"/>
    <w:rsid w:val="00635629"/>
    <w:rsid w:val="00636961"/>
    <w:rsid w:val="00636D00"/>
    <w:rsid w:val="0064036E"/>
    <w:rsid w:val="00640665"/>
    <w:rsid w:val="00641835"/>
    <w:rsid w:val="00641EF4"/>
    <w:rsid w:val="0064204B"/>
    <w:rsid w:val="0064576F"/>
    <w:rsid w:val="00645D5D"/>
    <w:rsid w:val="006479EE"/>
    <w:rsid w:val="00647F6A"/>
    <w:rsid w:val="0065025F"/>
    <w:rsid w:val="0065063B"/>
    <w:rsid w:val="0065066E"/>
    <w:rsid w:val="00651BAC"/>
    <w:rsid w:val="006522F0"/>
    <w:rsid w:val="00652B54"/>
    <w:rsid w:val="00652BAB"/>
    <w:rsid w:val="006532BB"/>
    <w:rsid w:val="006533D1"/>
    <w:rsid w:val="00655128"/>
    <w:rsid w:val="006554E7"/>
    <w:rsid w:val="00655EEE"/>
    <w:rsid w:val="00657995"/>
    <w:rsid w:val="00662669"/>
    <w:rsid w:val="00662675"/>
    <w:rsid w:val="00662D7B"/>
    <w:rsid w:val="0066442C"/>
    <w:rsid w:val="00664A34"/>
    <w:rsid w:val="00664F15"/>
    <w:rsid w:val="00665264"/>
    <w:rsid w:val="00667DE9"/>
    <w:rsid w:val="006715A8"/>
    <w:rsid w:val="006724B4"/>
    <w:rsid w:val="00672794"/>
    <w:rsid w:val="006731FD"/>
    <w:rsid w:val="006737F7"/>
    <w:rsid w:val="00674238"/>
    <w:rsid w:val="00676B07"/>
    <w:rsid w:val="00677539"/>
    <w:rsid w:val="00681E4A"/>
    <w:rsid w:val="00681F0C"/>
    <w:rsid w:val="00682D6A"/>
    <w:rsid w:val="0068305C"/>
    <w:rsid w:val="006838ED"/>
    <w:rsid w:val="006857B3"/>
    <w:rsid w:val="00685AC6"/>
    <w:rsid w:val="00685DB2"/>
    <w:rsid w:val="00686029"/>
    <w:rsid w:val="00686318"/>
    <w:rsid w:val="0068671B"/>
    <w:rsid w:val="006869E9"/>
    <w:rsid w:val="00687494"/>
    <w:rsid w:val="00687B5E"/>
    <w:rsid w:val="00691A51"/>
    <w:rsid w:val="00692F78"/>
    <w:rsid w:val="00693266"/>
    <w:rsid w:val="006947CF"/>
    <w:rsid w:val="006948C8"/>
    <w:rsid w:val="006959DD"/>
    <w:rsid w:val="00695F5C"/>
    <w:rsid w:val="006A0164"/>
    <w:rsid w:val="006A01B3"/>
    <w:rsid w:val="006A2399"/>
    <w:rsid w:val="006A2F82"/>
    <w:rsid w:val="006A3276"/>
    <w:rsid w:val="006A454F"/>
    <w:rsid w:val="006A4FF1"/>
    <w:rsid w:val="006A6904"/>
    <w:rsid w:val="006A70BD"/>
    <w:rsid w:val="006A7771"/>
    <w:rsid w:val="006B137D"/>
    <w:rsid w:val="006B165B"/>
    <w:rsid w:val="006B42A5"/>
    <w:rsid w:val="006B5A48"/>
    <w:rsid w:val="006B63A3"/>
    <w:rsid w:val="006C0458"/>
    <w:rsid w:val="006C0AE2"/>
    <w:rsid w:val="006C244D"/>
    <w:rsid w:val="006C2924"/>
    <w:rsid w:val="006C408B"/>
    <w:rsid w:val="006C4232"/>
    <w:rsid w:val="006C45FB"/>
    <w:rsid w:val="006C5044"/>
    <w:rsid w:val="006D0B62"/>
    <w:rsid w:val="006D0D0F"/>
    <w:rsid w:val="006D1582"/>
    <w:rsid w:val="006D26F9"/>
    <w:rsid w:val="006D2963"/>
    <w:rsid w:val="006D38E9"/>
    <w:rsid w:val="006D485E"/>
    <w:rsid w:val="006D4923"/>
    <w:rsid w:val="006D69F6"/>
    <w:rsid w:val="006D7C18"/>
    <w:rsid w:val="006E0C07"/>
    <w:rsid w:val="006E0E62"/>
    <w:rsid w:val="006E381A"/>
    <w:rsid w:val="006E4AD8"/>
    <w:rsid w:val="006E579F"/>
    <w:rsid w:val="006E6579"/>
    <w:rsid w:val="006E71BC"/>
    <w:rsid w:val="006E78A1"/>
    <w:rsid w:val="006F005C"/>
    <w:rsid w:val="006F1BC8"/>
    <w:rsid w:val="006F27A5"/>
    <w:rsid w:val="006F34F7"/>
    <w:rsid w:val="006F616F"/>
    <w:rsid w:val="006F7D2C"/>
    <w:rsid w:val="00700114"/>
    <w:rsid w:val="00700877"/>
    <w:rsid w:val="00700CEF"/>
    <w:rsid w:val="007012AA"/>
    <w:rsid w:val="007058E2"/>
    <w:rsid w:val="007063F2"/>
    <w:rsid w:val="007064DA"/>
    <w:rsid w:val="00707BF4"/>
    <w:rsid w:val="00710FDC"/>
    <w:rsid w:val="00711087"/>
    <w:rsid w:val="00711337"/>
    <w:rsid w:val="00711C49"/>
    <w:rsid w:val="00712CD2"/>
    <w:rsid w:val="00712F19"/>
    <w:rsid w:val="00714F75"/>
    <w:rsid w:val="007155A9"/>
    <w:rsid w:val="00715679"/>
    <w:rsid w:val="007161E4"/>
    <w:rsid w:val="007207C4"/>
    <w:rsid w:val="007223C3"/>
    <w:rsid w:val="00723011"/>
    <w:rsid w:val="007230C2"/>
    <w:rsid w:val="007243DF"/>
    <w:rsid w:val="007252AA"/>
    <w:rsid w:val="00727188"/>
    <w:rsid w:val="00727477"/>
    <w:rsid w:val="00730895"/>
    <w:rsid w:val="00730BEA"/>
    <w:rsid w:val="0073114F"/>
    <w:rsid w:val="00731507"/>
    <w:rsid w:val="007319A3"/>
    <w:rsid w:val="00732FDD"/>
    <w:rsid w:val="0073343E"/>
    <w:rsid w:val="00736A01"/>
    <w:rsid w:val="00737082"/>
    <w:rsid w:val="00740CA4"/>
    <w:rsid w:val="00742698"/>
    <w:rsid w:val="00742E21"/>
    <w:rsid w:val="00745C22"/>
    <w:rsid w:val="00746F98"/>
    <w:rsid w:val="00751575"/>
    <w:rsid w:val="007517DF"/>
    <w:rsid w:val="00752836"/>
    <w:rsid w:val="00752A41"/>
    <w:rsid w:val="007534AD"/>
    <w:rsid w:val="00753B5F"/>
    <w:rsid w:val="00753BE2"/>
    <w:rsid w:val="00754434"/>
    <w:rsid w:val="0075489B"/>
    <w:rsid w:val="00755BF0"/>
    <w:rsid w:val="007561EB"/>
    <w:rsid w:val="00756C01"/>
    <w:rsid w:val="00756C6B"/>
    <w:rsid w:val="007603CC"/>
    <w:rsid w:val="0076084E"/>
    <w:rsid w:val="00760F63"/>
    <w:rsid w:val="00762DC1"/>
    <w:rsid w:val="00763D1B"/>
    <w:rsid w:val="00763D48"/>
    <w:rsid w:val="007643DF"/>
    <w:rsid w:val="007646C4"/>
    <w:rsid w:val="0076499D"/>
    <w:rsid w:val="00765AD8"/>
    <w:rsid w:val="0076697C"/>
    <w:rsid w:val="00766DBF"/>
    <w:rsid w:val="007679F3"/>
    <w:rsid w:val="00767F32"/>
    <w:rsid w:val="007707B5"/>
    <w:rsid w:val="007710BB"/>
    <w:rsid w:val="0077153F"/>
    <w:rsid w:val="00771DAC"/>
    <w:rsid w:val="0077231F"/>
    <w:rsid w:val="0077585D"/>
    <w:rsid w:val="00775913"/>
    <w:rsid w:val="00775DCC"/>
    <w:rsid w:val="00775F7F"/>
    <w:rsid w:val="0077751B"/>
    <w:rsid w:val="007801C6"/>
    <w:rsid w:val="007808E4"/>
    <w:rsid w:val="007817FB"/>
    <w:rsid w:val="00781FBD"/>
    <w:rsid w:val="00782093"/>
    <w:rsid w:val="0078288D"/>
    <w:rsid w:val="00782E6A"/>
    <w:rsid w:val="0078393A"/>
    <w:rsid w:val="00783E18"/>
    <w:rsid w:val="0078583A"/>
    <w:rsid w:val="00785A30"/>
    <w:rsid w:val="00786483"/>
    <w:rsid w:val="00786992"/>
    <w:rsid w:val="00786D7E"/>
    <w:rsid w:val="00787753"/>
    <w:rsid w:val="00787FF9"/>
    <w:rsid w:val="0079111A"/>
    <w:rsid w:val="007912A4"/>
    <w:rsid w:val="00791ABB"/>
    <w:rsid w:val="00792036"/>
    <w:rsid w:val="00793083"/>
    <w:rsid w:val="007934F4"/>
    <w:rsid w:val="00793CC3"/>
    <w:rsid w:val="0079590E"/>
    <w:rsid w:val="00795CE4"/>
    <w:rsid w:val="00795E3E"/>
    <w:rsid w:val="0079627E"/>
    <w:rsid w:val="0079708E"/>
    <w:rsid w:val="007978F4"/>
    <w:rsid w:val="007A0535"/>
    <w:rsid w:val="007A14EC"/>
    <w:rsid w:val="007A29CA"/>
    <w:rsid w:val="007A3F59"/>
    <w:rsid w:val="007A40A5"/>
    <w:rsid w:val="007A46CB"/>
    <w:rsid w:val="007A4F32"/>
    <w:rsid w:val="007A5123"/>
    <w:rsid w:val="007A57DE"/>
    <w:rsid w:val="007A58A1"/>
    <w:rsid w:val="007A775F"/>
    <w:rsid w:val="007A7EB9"/>
    <w:rsid w:val="007B2E78"/>
    <w:rsid w:val="007B52DA"/>
    <w:rsid w:val="007B606D"/>
    <w:rsid w:val="007C01C1"/>
    <w:rsid w:val="007C0BA9"/>
    <w:rsid w:val="007C195A"/>
    <w:rsid w:val="007C2D87"/>
    <w:rsid w:val="007C3AB1"/>
    <w:rsid w:val="007C4249"/>
    <w:rsid w:val="007C49FB"/>
    <w:rsid w:val="007C701D"/>
    <w:rsid w:val="007C7371"/>
    <w:rsid w:val="007C7791"/>
    <w:rsid w:val="007D017C"/>
    <w:rsid w:val="007D0AB6"/>
    <w:rsid w:val="007D18CF"/>
    <w:rsid w:val="007D288E"/>
    <w:rsid w:val="007D6568"/>
    <w:rsid w:val="007D6C02"/>
    <w:rsid w:val="007D7369"/>
    <w:rsid w:val="007D7B60"/>
    <w:rsid w:val="007D7EAD"/>
    <w:rsid w:val="007E0C6A"/>
    <w:rsid w:val="007E31C8"/>
    <w:rsid w:val="007E31FF"/>
    <w:rsid w:val="007E5AE8"/>
    <w:rsid w:val="007E7BD2"/>
    <w:rsid w:val="007F01D3"/>
    <w:rsid w:val="007F02AC"/>
    <w:rsid w:val="007F08B4"/>
    <w:rsid w:val="007F4EE1"/>
    <w:rsid w:val="007F5D32"/>
    <w:rsid w:val="007F621E"/>
    <w:rsid w:val="007F6B3A"/>
    <w:rsid w:val="007F7318"/>
    <w:rsid w:val="00800633"/>
    <w:rsid w:val="00802213"/>
    <w:rsid w:val="00803D57"/>
    <w:rsid w:val="0080404F"/>
    <w:rsid w:val="0080429F"/>
    <w:rsid w:val="00804580"/>
    <w:rsid w:val="008053A6"/>
    <w:rsid w:val="008059E7"/>
    <w:rsid w:val="008061EF"/>
    <w:rsid w:val="008062FC"/>
    <w:rsid w:val="00807AFC"/>
    <w:rsid w:val="00810864"/>
    <w:rsid w:val="00812A26"/>
    <w:rsid w:val="00813985"/>
    <w:rsid w:val="0081470A"/>
    <w:rsid w:val="00815C13"/>
    <w:rsid w:val="00816DF9"/>
    <w:rsid w:val="008178B6"/>
    <w:rsid w:val="00821F15"/>
    <w:rsid w:val="00822368"/>
    <w:rsid w:val="00822664"/>
    <w:rsid w:val="00822848"/>
    <w:rsid w:val="00824A09"/>
    <w:rsid w:val="00824C52"/>
    <w:rsid w:val="00824DCB"/>
    <w:rsid w:val="0082509F"/>
    <w:rsid w:val="008250C2"/>
    <w:rsid w:val="0082514D"/>
    <w:rsid w:val="0082607A"/>
    <w:rsid w:val="008265C7"/>
    <w:rsid w:val="0082766A"/>
    <w:rsid w:val="008309C5"/>
    <w:rsid w:val="008329CA"/>
    <w:rsid w:val="00832DC9"/>
    <w:rsid w:val="00833A03"/>
    <w:rsid w:val="008341D7"/>
    <w:rsid w:val="00834A43"/>
    <w:rsid w:val="008362D1"/>
    <w:rsid w:val="008364E9"/>
    <w:rsid w:val="00837E84"/>
    <w:rsid w:val="008401FA"/>
    <w:rsid w:val="0084159C"/>
    <w:rsid w:val="00841EF5"/>
    <w:rsid w:val="0084292E"/>
    <w:rsid w:val="008450AC"/>
    <w:rsid w:val="008468BE"/>
    <w:rsid w:val="0084730D"/>
    <w:rsid w:val="00847344"/>
    <w:rsid w:val="0084783F"/>
    <w:rsid w:val="00850719"/>
    <w:rsid w:val="00850986"/>
    <w:rsid w:val="00851DD2"/>
    <w:rsid w:val="00851E95"/>
    <w:rsid w:val="0085416A"/>
    <w:rsid w:val="00856BE0"/>
    <w:rsid w:val="00856C37"/>
    <w:rsid w:val="008574E6"/>
    <w:rsid w:val="00860184"/>
    <w:rsid w:val="008614A0"/>
    <w:rsid w:val="00861850"/>
    <w:rsid w:val="008619E5"/>
    <w:rsid w:val="0086216D"/>
    <w:rsid w:val="00866C8E"/>
    <w:rsid w:val="0086739F"/>
    <w:rsid w:val="008673FE"/>
    <w:rsid w:val="0087084E"/>
    <w:rsid w:val="00873C20"/>
    <w:rsid w:val="0087434A"/>
    <w:rsid w:val="0087464C"/>
    <w:rsid w:val="00874679"/>
    <w:rsid w:val="00875781"/>
    <w:rsid w:val="00875ABC"/>
    <w:rsid w:val="008775A8"/>
    <w:rsid w:val="00880032"/>
    <w:rsid w:val="00880DCA"/>
    <w:rsid w:val="0088124F"/>
    <w:rsid w:val="00881374"/>
    <w:rsid w:val="00881ADC"/>
    <w:rsid w:val="00881DAF"/>
    <w:rsid w:val="008836C9"/>
    <w:rsid w:val="008837B4"/>
    <w:rsid w:val="00884A41"/>
    <w:rsid w:val="00885115"/>
    <w:rsid w:val="00885870"/>
    <w:rsid w:val="008863CD"/>
    <w:rsid w:val="00886A80"/>
    <w:rsid w:val="00886E32"/>
    <w:rsid w:val="00887432"/>
    <w:rsid w:val="00887781"/>
    <w:rsid w:val="008878DB"/>
    <w:rsid w:val="00893620"/>
    <w:rsid w:val="0089489C"/>
    <w:rsid w:val="00895DB6"/>
    <w:rsid w:val="00896233"/>
    <w:rsid w:val="00897EE0"/>
    <w:rsid w:val="00897EEC"/>
    <w:rsid w:val="008A193A"/>
    <w:rsid w:val="008A1CD0"/>
    <w:rsid w:val="008A1DDD"/>
    <w:rsid w:val="008A1F9B"/>
    <w:rsid w:val="008A2DD1"/>
    <w:rsid w:val="008A2FB0"/>
    <w:rsid w:val="008A4D8D"/>
    <w:rsid w:val="008A4EC6"/>
    <w:rsid w:val="008A5FAC"/>
    <w:rsid w:val="008A671F"/>
    <w:rsid w:val="008A7716"/>
    <w:rsid w:val="008A77DF"/>
    <w:rsid w:val="008B0E23"/>
    <w:rsid w:val="008B10E7"/>
    <w:rsid w:val="008B1118"/>
    <w:rsid w:val="008B198C"/>
    <w:rsid w:val="008B27B8"/>
    <w:rsid w:val="008B3ECC"/>
    <w:rsid w:val="008B51B0"/>
    <w:rsid w:val="008B5E27"/>
    <w:rsid w:val="008B6147"/>
    <w:rsid w:val="008B6586"/>
    <w:rsid w:val="008B745C"/>
    <w:rsid w:val="008B7ABD"/>
    <w:rsid w:val="008C0A97"/>
    <w:rsid w:val="008C2612"/>
    <w:rsid w:val="008C2696"/>
    <w:rsid w:val="008C27C3"/>
    <w:rsid w:val="008C49C4"/>
    <w:rsid w:val="008C4BA6"/>
    <w:rsid w:val="008C5765"/>
    <w:rsid w:val="008C69DF"/>
    <w:rsid w:val="008C69E4"/>
    <w:rsid w:val="008C6B0A"/>
    <w:rsid w:val="008D1214"/>
    <w:rsid w:val="008D1A0F"/>
    <w:rsid w:val="008D1FB5"/>
    <w:rsid w:val="008D2D0E"/>
    <w:rsid w:val="008D4275"/>
    <w:rsid w:val="008D42AF"/>
    <w:rsid w:val="008D48AE"/>
    <w:rsid w:val="008D55D5"/>
    <w:rsid w:val="008D5BE0"/>
    <w:rsid w:val="008D64C0"/>
    <w:rsid w:val="008D722A"/>
    <w:rsid w:val="008D7916"/>
    <w:rsid w:val="008E14D6"/>
    <w:rsid w:val="008E185D"/>
    <w:rsid w:val="008E28F7"/>
    <w:rsid w:val="008E3424"/>
    <w:rsid w:val="008E348E"/>
    <w:rsid w:val="008E3731"/>
    <w:rsid w:val="008E3977"/>
    <w:rsid w:val="008E5898"/>
    <w:rsid w:val="008E626B"/>
    <w:rsid w:val="008E7E5E"/>
    <w:rsid w:val="008F09A0"/>
    <w:rsid w:val="008F2292"/>
    <w:rsid w:val="008F37FA"/>
    <w:rsid w:val="008F43D1"/>
    <w:rsid w:val="008F444E"/>
    <w:rsid w:val="008F44CB"/>
    <w:rsid w:val="008F477F"/>
    <w:rsid w:val="008F4CB3"/>
    <w:rsid w:val="008F5593"/>
    <w:rsid w:val="008F640D"/>
    <w:rsid w:val="008F7D03"/>
    <w:rsid w:val="0090032F"/>
    <w:rsid w:val="009004DE"/>
    <w:rsid w:val="00900E85"/>
    <w:rsid w:val="0090226B"/>
    <w:rsid w:val="009039EC"/>
    <w:rsid w:val="00903EAA"/>
    <w:rsid w:val="00904128"/>
    <w:rsid w:val="00904DBC"/>
    <w:rsid w:val="009052C8"/>
    <w:rsid w:val="0090587E"/>
    <w:rsid w:val="00906315"/>
    <w:rsid w:val="009063F7"/>
    <w:rsid w:val="00907FB5"/>
    <w:rsid w:val="00907FE3"/>
    <w:rsid w:val="009102EB"/>
    <w:rsid w:val="00910BF1"/>
    <w:rsid w:val="00911A73"/>
    <w:rsid w:val="0091265E"/>
    <w:rsid w:val="009142DA"/>
    <w:rsid w:val="0091526F"/>
    <w:rsid w:val="00915AFC"/>
    <w:rsid w:val="00915CA2"/>
    <w:rsid w:val="00916D64"/>
    <w:rsid w:val="00917447"/>
    <w:rsid w:val="009204CD"/>
    <w:rsid w:val="009209AA"/>
    <w:rsid w:val="00922051"/>
    <w:rsid w:val="009230B6"/>
    <w:rsid w:val="00923565"/>
    <w:rsid w:val="00925066"/>
    <w:rsid w:val="00925C46"/>
    <w:rsid w:val="00927893"/>
    <w:rsid w:val="00927C11"/>
    <w:rsid w:val="00931165"/>
    <w:rsid w:val="009312EF"/>
    <w:rsid w:val="009343B3"/>
    <w:rsid w:val="00934E93"/>
    <w:rsid w:val="009350AF"/>
    <w:rsid w:val="0093517C"/>
    <w:rsid w:val="009353D7"/>
    <w:rsid w:val="009369F0"/>
    <w:rsid w:val="009401C4"/>
    <w:rsid w:val="00940B75"/>
    <w:rsid w:val="009416CA"/>
    <w:rsid w:val="009433B0"/>
    <w:rsid w:val="00943CEB"/>
    <w:rsid w:val="00947DE2"/>
    <w:rsid w:val="009505B0"/>
    <w:rsid w:val="0095123F"/>
    <w:rsid w:val="0095189F"/>
    <w:rsid w:val="009533E2"/>
    <w:rsid w:val="00953A49"/>
    <w:rsid w:val="00954BAA"/>
    <w:rsid w:val="009552E4"/>
    <w:rsid w:val="00955ADB"/>
    <w:rsid w:val="00955D58"/>
    <w:rsid w:val="00955FF9"/>
    <w:rsid w:val="00956B69"/>
    <w:rsid w:val="00956B81"/>
    <w:rsid w:val="009579DF"/>
    <w:rsid w:val="009628B7"/>
    <w:rsid w:val="00962E18"/>
    <w:rsid w:val="0096386A"/>
    <w:rsid w:val="00963AFB"/>
    <w:rsid w:val="00965862"/>
    <w:rsid w:val="009678AB"/>
    <w:rsid w:val="00970050"/>
    <w:rsid w:val="009710E0"/>
    <w:rsid w:val="009716AF"/>
    <w:rsid w:val="00971B73"/>
    <w:rsid w:val="009722BC"/>
    <w:rsid w:val="009726DB"/>
    <w:rsid w:val="0097298E"/>
    <w:rsid w:val="00973FF9"/>
    <w:rsid w:val="00974EFA"/>
    <w:rsid w:val="0097540B"/>
    <w:rsid w:val="00977084"/>
    <w:rsid w:val="00977A3C"/>
    <w:rsid w:val="009836CD"/>
    <w:rsid w:val="00983BA5"/>
    <w:rsid w:val="00985679"/>
    <w:rsid w:val="009860E5"/>
    <w:rsid w:val="00986B8F"/>
    <w:rsid w:val="0098769B"/>
    <w:rsid w:val="00987BAF"/>
    <w:rsid w:val="00992988"/>
    <w:rsid w:val="00994A91"/>
    <w:rsid w:val="00995678"/>
    <w:rsid w:val="00995DCF"/>
    <w:rsid w:val="0099603A"/>
    <w:rsid w:val="009A0121"/>
    <w:rsid w:val="009A1807"/>
    <w:rsid w:val="009A28C8"/>
    <w:rsid w:val="009A3D24"/>
    <w:rsid w:val="009A3F9E"/>
    <w:rsid w:val="009A42E1"/>
    <w:rsid w:val="009A4DA2"/>
    <w:rsid w:val="009A4E4D"/>
    <w:rsid w:val="009A4EB5"/>
    <w:rsid w:val="009A52DD"/>
    <w:rsid w:val="009A58D1"/>
    <w:rsid w:val="009A5E11"/>
    <w:rsid w:val="009A6682"/>
    <w:rsid w:val="009A79E0"/>
    <w:rsid w:val="009A7BF8"/>
    <w:rsid w:val="009B0A98"/>
    <w:rsid w:val="009B0ADA"/>
    <w:rsid w:val="009B1B6F"/>
    <w:rsid w:val="009B2EB0"/>
    <w:rsid w:val="009B3042"/>
    <w:rsid w:val="009B38DD"/>
    <w:rsid w:val="009B4821"/>
    <w:rsid w:val="009B4FA1"/>
    <w:rsid w:val="009B6099"/>
    <w:rsid w:val="009C1956"/>
    <w:rsid w:val="009C2BE5"/>
    <w:rsid w:val="009C2E88"/>
    <w:rsid w:val="009C4FC2"/>
    <w:rsid w:val="009C5EC1"/>
    <w:rsid w:val="009C67DC"/>
    <w:rsid w:val="009C7E7D"/>
    <w:rsid w:val="009D0508"/>
    <w:rsid w:val="009D26D9"/>
    <w:rsid w:val="009D3217"/>
    <w:rsid w:val="009D3F6C"/>
    <w:rsid w:val="009D5D30"/>
    <w:rsid w:val="009D7259"/>
    <w:rsid w:val="009D73D6"/>
    <w:rsid w:val="009D7486"/>
    <w:rsid w:val="009E173C"/>
    <w:rsid w:val="009E385C"/>
    <w:rsid w:val="009E51C2"/>
    <w:rsid w:val="009E5581"/>
    <w:rsid w:val="009E61A2"/>
    <w:rsid w:val="009E69E5"/>
    <w:rsid w:val="009F00BF"/>
    <w:rsid w:val="009F02B1"/>
    <w:rsid w:val="009F160A"/>
    <w:rsid w:val="009F2972"/>
    <w:rsid w:val="009F2FD8"/>
    <w:rsid w:val="009F30E6"/>
    <w:rsid w:val="009F3321"/>
    <w:rsid w:val="009F4907"/>
    <w:rsid w:val="009F553B"/>
    <w:rsid w:val="009F642F"/>
    <w:rsid w:val="009F6E7B"/>
    <w:rsid w:val="009F7311"/>
    <w:rsid w:val="00A00CAF"/>
    <w:rsid w:val="00A01503"/>
    <w:rsid w:val="00A01E43"/>
    <w:rsid w:val="00A03A53"/>
    <w:rsid w:val="00A04558"/>
    <w:rsid w:val="00A04F50"/>
    <w:rsid w:val="00A05149"/>
    <w:rsid w:val="00A0557B"/>
    <w:rsid w:val="00A05CD1"/>
    <w:rsid w:val="00A1005B"/>
    <w:rsid w:val="00A1259D"/>
    <w:rsid w:val="00A13723"/>
    <w:rsid w:val="00A13F6A"/>
    <w:rsid w:val="00A171CD"/>
    <w:rsid w:val="00A17297"/>
    <w:rsid w:val="00A17A38"/>
    <w:rsid w:val="00A2160D"/>
    <w:rsid w:val="00A217F4"/>
    <w:rsid w:val="00A21916"/>
    <w:rsid w:val="00A22747"/>
    <w:rsid w:val="00A22BB5"/>
    <w:rsid w:val="00A23C93"/>
    <w:rsid w:val="00A2446E"/>
    <w:rsid w:val="00A25BA5"/>
    <w:rsid w:val="00A275AD"/>
    <w:rsid w:val="00A27DDB"/>
    <w:rsid w:val="00A27F48"/>
    <w:rsid w:val="00A30720"/>
    <w:rsid w:val="00A30795"/>
    <w:rsid w:val="00A32E3A"/>
    <w:rsid w:val="00A3314B"/>
    <w:rsid w:val="00A3330C"/>
    <w:rsid w:val="00A349CE"/>
    <w:rsid w:val="00A350B1"/>
    <w:rsid w:val="00A3571E"/>
    <w:rsid w:val="00A357CF"/>
    <w:rsid w:val="00A359A2"/>
    <w:rsid w:val="00A35F53"/>
    <w:rsid w:val="00A366B8"/>
    <w:rsid w:val="00A368BE"/>
    <w:rsid w:val="00A40656"/>
    <w:rsid w:val="00A41D38"/>
    <w:rsid w:val="00A42681"/>
    <w:rsid w:val="00A42C66"/>
    <w:rsid w:val="00A43707"/>
    <w:rsid w:val="00A442F4"/>
    <w:rsid w:val="00A46A04"/>
    <w:rsid w:val="00A46D18"/>
    <w:rsid w:val="00A4724C"/>
    <w:rsid w:val="00A5100F"/>
    <w:rsid w:val="00A514D0"/>
    <w:rsid w:val="00A5270F"/>
    <w:rsid w:val="00A53BF8"/>
    <w:rsid w:val="00A54FC5"/>
    <w:rsid w:val="00A558CE"/>
    <w:rsid w:val="00A55B18"/>
    <w:rsid w:val="00A562CE"/>
    <w:rsid w:val="00A56307"/>
    <w:rsid w:val="00A56D38"/>
    <w:rsid w:val="00A616E8"/>
    <w:rsid w:val="00A61951"/>
    <w:rsid w:val="00A63A3E"/>
    <w:rsid w:val="00A63CBA"/>
    <w:rsid w:val="00A642C4"/>
    <w:rsid w:val="00A652DA"/>
    <w:rsid w:val="00A665AA"/>
    <w:rsid w:val="00A6757A"/>
    <w:rsid w:val="00A707AD"/>
    <w:rsid w:val="00A70914"/>
    <w:rsid w:val="00A71756"/>
    <w:rsid w:val="00A7282B"/>
    <w:rsid w:val="00A7291F"/>
    <w:rsid w:val="00A75663"/>
    <w:rsid w:val="00A7657C"/>
    <w:rsid w:val="00A76D7F"/>
    <w:rsid w:val="00A81917"/>
    <w:rsid w:val="00A81B7C"/>
    <w:rsid w:val="00A825A6"/>
    <w:rsid w:val="00A82D72"/>
    <w:rsid w:val="00A84548"/>
    <w:rsid w:val="00A8470E"/>
    <w:rsid w:val="00A84789"/>
    <w:rsid w:val="00A84C42"/>
    <w:rsid w:val="00A86365"/>
    <w:rsid w:val="00A87AF9"/>
    <w:rsid w:val="00A909A4"/>
    <w:rsid w:val="00A91C6D"/>
    <w:rsid w:val="00A9252B"/>
    <w:rsid w:val="00A9261D"/>
    <w:rsid w:val="00A92978"/>
    <w:rsid w:val="00A92EBE"/>
    <w:rsid w:val="00A9516B"/>
    <w:rsid w:val="00A95AEB"/>
    <w:rsid w:val="00A97F8D"/>
    <w:rsid w:val="00AA0453"/>
    <w:rsid w:val="00AA17FB"/>
    <w:rsid w:val="00AA2853"/>
    <w:rsid w:val="00AA36C7"/>
    <w:rsid w:val="00AA495E"/>
    <w:rsid w:val="00AA5866"/>
    <w:rsid w:val="00AA6934"/>
    <w:rsid w:val="00AA6E9D"/>
    <w:rsid w:val="00AA7008"/>
    <w:rsid w:val="00AA7BA4"/>
    <w:rsid w:val="00AB0C2C"/>
    <w:rsid w:val="00AB1078"/>
    <w:rsid w:val="00AB1346"/>
    <w:rsid w:val="00AB26DB"/>
    <w:rsid w:val="00AB4E24"/>
    <w:rsid w:val="00AB61EA"/>
    <w:rsid w:val="00AB6DB2"/>
    <w:rsid w:val="00AB6E64"/>
    <w:rsid w:val="00AC01BE"/>
    <w:rsid w:val="00AC1331"/>
    <w:rsid w:val="00AC150B"/>
    <w:rsid w:val="00AC275E"/>
    <w:rsid w:val="00AC4838"/>
    <w:rsid w:val="00AC4CE8"/>
    <w:rsid w:val="00AC72C1"/>
    <w:rsid w:val="00AC7A0D"/>
    <w:rsid w:val="00AC7B2E"/>
    <w:rsid w:val="00AD0813"/>
    <w:rsid w:val="00AD09D0"/>
    <w:rsid w:val="00AD2037"/>
    <w:rsid w:val="00AD24E8"/>
    <w:rsid w:val="00AD24EF"/>
    <w:rsid w:val="00AD2772"/>
    <w:rsid w:val="00AD2F33"/>
    <w:rsid w:val="00AD3432"/>
    <w:rsid w:val="00AD3D8F"/>
    <w:rsid w:val="00AD473A"/>
    <w:rsid w:val="00AD4D1E"/>
    <w:rsid w:val="00AD585F"/>
    <w:rsid w:val="00AD5A93"/>
    <w:rsid w:val="00AD7646"/>
    <w:rsid w:val="00AE018C"/>
    <w:rsid w:val="00AE024C"/>
    <w:rsid w:val="00AE1F29"/>
    <w:rsid w:val="00AE371D"/>
    <w:rsid w:val="00AE39AB"/>
    <w:rsid w:val="00AE584F"/>
    <w:rsid w:val="00AE63C3"/>
    <w:rsid w:val="00AE7A91"/>
    <w:rsid w:val="00AE7CFC"/>
    <w:rsid w:val="00AF291F"/>
    <w:rsid w:val="00AF3321"/>
    <w:rsid w:val="00AF3D00"/>
    <w:rsid w:val="00AF4AB4"/>
    <w:rsid w:val="00AF5FE7"/>
    <w:rsid w:val="00AF6019"/>
    <w:rsid w:val="00AF6489"/>
    <w:rsid w:val="00AF7A9F"/>
    <w:rsid w:val="00B01D34"/>
    <w:rsid w:val="00B02137"/>
    <w:rsid w:val="00B02348"/>
    <w:rsid w:val="00B03561"/>
    <w:rsid w:val="00B03609"/>
    <w:rsid w:val="00B03831"/>
    <w:rsid w:val="00B03DBB"/>
    <w:rsid w:val="00B040F7"/>
    <w:rsid w:val="00B04254"/>
    <w:rsid w:val="00B042E0"/>
    <w:rsid w:val="00B045DE"/>
    <w:rsid w:val="00B04F33"/>
    <w:rsid w:val="00B05449"/>
    <w:rsid w:val="00B05903"/>
    <w:rsid w:val="00B06559"/>
    <w:rsid w:val="00B06E17"/>
    <w:rsid w:val="00B07D8B"/>
    <w:rsid w:val="00B10648"/>
    <w:rsid w:val="00B1157D"/>
    <w:rsid w:val="00B15007"/>
    <w:rsid w:val="00B163A7"/>
    <w:rsid w:val="00B168DD"/>
    <w:rsid w:val="00B16DE7"/>
    <w:rsid w:val="00B17804"/>
    <w:rsid w:val="00B179CD"/>
    <w:rsid w:val="00B2010B"/>
    <w:rsid w:val="00B225D7"/>
    <w:rsid w:val="00B24138"/>
    <w:rsid w:val="00B24177"/>
    <w:rsid w:val="00B241E7"/>
    <w:rsid w:val="00B255AF"/>
    <w:rsid w:val="00B25C86"/>
    <w:rsid w:val="00B26DC3"/>
    <w:rsid w:val="00B27217"/>
    <w:rsid w:val="00B27595"/>
    <w:rsid w:val="00B30297"/>
    <w:rsid w:val="00B3060C"/>
    <w:rsid w:val="00B30D05"/>
    <w:rsid w:val="00B327DB"/>
    <w:rsid w:val="00B340E2"/>
    <w:rsid w:val="00B342E5"/>
    <w:rsid w:val="00B357A3"/>
    <w:rsid w:val="00B36A3D"/>
    <w:rsid w:val="00B37140"/>
    <w:rsid w:val="00B378E0"/>
    <w:rsid w:val="00B4008E"/>
    <w:rsid w:val="00B41871"/>
    <w:rsid w:val="00B4336F"/>
    <w:rsid w:val="00B43695"/>
    <w:rsid w:val="00B43913"/>
    <w:rsid w:val="00B44D76"/>
    <w:rsid w:val="00B45196"/>
    <w:rsid w:val="00B4522D"/>
    <w:rsid w:val="00B4598F"/>
    <w:rsid w:val="00B4688C"/>
    <w:rsid w:val="00B46BF7"/>
    <w:rsid w:val="00B50E29"/>
    <w:rsid w:val="00B51E97"/>
    <w:rsid w:val="00B520A3"/>
    <w:rsid w:val="00B52999"/>
    <w:rsid w:val="00B5327F"/>
    <w:rsid w:val="00B54B49"/>
    <w:rsid w:val="00B565FE"/>
    <w:rsid w:val="00B57C66"/>
    <w:rsid w:val="00B57CF6"/>
    <w:rsid w:val="00B60458"/>
    <w:rsid w:val="00B605EA"/>
    <w:rsid w:val="00B61DC3"/>
    <w:rsid w:val="00B62647"/>
    <w:rsid w:val="00B63287"/>
    <w:rsid w:val="00B633C4"/>
    <w:rsid w:val="00B65473"/>
    <w:rsid w:val="00B65AA5"/>
    <w:rsid w:val="00B664CA"/>
    <w:rsid w:val="00B6797C"/>
    <w:rsid w:val="00B67AEA"/>
    <w:rsid w:val="00B723D8"/>
    <w:rsid w:val="00B724AE"/>
    <w:rsid w:val="00B72C66"/>
    <w:rsid w:val="00B73C62"/>
    <w:rsid w:val="00B7681D"/>
    <w:rsid w:val="00B775C7"/>
    <w:rsid w:val="00B815AF"/>
    <w:rsid w:val="00B8234E"/>
    <w:rsid w:val="00B83C32"/>
    <w:rsid w:val="00B85816"/>
    <w:rsid w:val="00B85FF8"/>
    <w:rsid w:val="00B875C0"/>
    <w:rsid w:val="00B90608"/>
    <w:rsid w:val="00B91208"/>
    <w:rsid w:val="00B912D5"/>
    <w:rsid w:val="00B9166F"/>
    <w:rsid w:val="00B92016"/>
    <w:rsid w:val="00B920AD"/>
    <w:rsid w:val="00B92483"/>
    <w:rsid w:val="00B93336"/>
    <w:rsid w:val="00B948D0"/>
    <w:rsid w:val="00B94BD4"/>
    <w:rsid w:val="00B94C8E"/>
    <w:rsid w:val="00B94D1E"/>
    <w:rsid w:val="00B95A46"/>
    <w:rsid w:val="00B966AC"/>
    <w:rsid w:val="00B97558"/>
    <w:rsid w:val="00B97A60"/>
    <w:rsid w:val="00BA02DC"/>
    <w:rsid w:val="00BA0B2F"/>
    <w:rsid w:val="00BA1064"/>
    <w:rsid w:val="00BA1908"/>
    <w:rsid w:val="00BA43F1"/>
    <w:rsid w:val="00BA458F"/>
    <w:rsid w:val="00BA485C"/>
    <w:rsid w:val="00BA48FC"/>
    <w:rsid w:val="00BA4C75"/>
    <w:rsid w:val="00BA6979"/>
    <w:rsid w:val="00BA6D6B"/>
    <w:rsid w:val="00BA790D"/>
    <w:rsid w:val="00BA7A88"/>
    <w:rsid w:val="00BA7C1D"/>
    <w:rsid w:val="00BB279B"/>
    <w:rsid w:val="00BB4323"/>
    <w:rsid w:val="00BB452C"/>
    <w:rsid w:val="00BB4532"/>
    <w:rsid w:val="00BB4A21"/>
    <w:rsid w:val="00BB650B"/>
    <w:rsid w:val="00BB672B"/>
    <w:rsid w:val="00BB6BFB"/>
    <w:rsid w:val="00BB7B64"/>
    <w:rsid w:val="00BB7F9F"/>
    <w:rsid w:val="00BC34A6"/>
    <w:rsid w:val="00BC5309"/>
    <w:rsid w:val="00BC58A4"/>
    <w:rsid w:val="00BC5D9F"/>
    <w:rsid w:val="00BC6016"/>
    <w:rsid w:val="00BC781E"/>
    <w:rsid w:val="00BD0989"/>
    <w:rsid w:val="00BD1973"/>
    <w:rsid w:val="00BD2DB0"/>
    <w:rsid w:val="00BD358F"/>
    <w:rsid w:val="00BD469C"/>
    <w:rsid w:val="00BD4809"/>
    <w:rsid w:val="00BD5A0A"/>
    <w:rsid w:val="00BD5B44"/>
    <w:rsid w:val="00BD5B9B"/>
    <w:rsid w:val="00BD5E5C"/>
    <w:rsid w:val="00BD5F32"/>
    <w:rsid w:val="00BD69A1"/>
    <w:rsid w:val="00BD774B"/>
    <w:rsid w:val="00BE0278"/>
    <w:rsid w:val="00BE3082"/>
    <w:rsid w:val="00BE437C"/>
    <w:rsid w:val="00BE4D9C"/>
    <w:rsid w:val="00BE4ECB"/>
    <w:rsid w:val="00BE56A9"/>
    <w:rsid w:val="00BE5949"/>
    <w:rsid w:val="00BE7475"/>
    <w:rsid w:val="00BF0241"/>
    <w:rsid w:val="00BF152E"/>
    <w:rsid w:val="00BF2531"/>
    <w:rsid w:val="00BF2590"/>
    <w:rsid w:val="00BF3055"/>
    <w:rsid w:val="00BF3E3E"/>
    <w:rsid w:val="00BF40DE"/>
    <w:rsid w:val="00BF45D4"/>
    <w:rsid w:val="00BF62C1"/>
    <w:rsid w:val="00BF7386"/>
    <w:rsid w:val="00BF7BE5"/>
    <w:rsid w:val="00C01D39"/>
    <w:rsid w:val="00C02D92"/>
    <w:rsid w:val="00C04C29"/>
    <w:rsid w:val="00C05388"/>
    <w:rsid w:val="00C05C52"/>
    <w:rsid w:val="00C06C84"/>
    <w:rsid w:val="00C10244"/>
    <w:rsid w:val="00C103CD"/>
    <w:rsid w:val="00C10EDD"/>
    <w:rsid w:val="00C11417"/>
    <w:rsid w:val="00C1253A"/>
    <w:rsid w:val="00C12544"/>
    <w:rsid w:val="00C12799"/>
    <w:rsid w:val="00C13FB7"/>
    <w:rsid w:val="00C15D80"/>
    <w:rsid w:val="00C16C0E"/>
    <w:rsid w:val="00C174F2"/>
    <w:rsid w:val="00C213E5"/>
    <w:rsid w:val="00C232A8"/>
    <w:rsid w:val="00C236B1"/>
    <w:rsid w:val="00C237A1"/>
    <w:rsid w:val="00C2483B"/>
    <w:rsid w:val="00C25C9B"/>
    <w:rsid w:val="00C261AB"/>
    <w:rsid w:val="00C2759E"/>
    <w:rsid w:val="00C30EDD"/>
    <w:rsid w:val="00C32303"/>
    <w:rsid w:val="00C36220"/>
    <w:rsid w:val="00C362DF"/>
    <w:rsid w:val="00C40D92"/>
    <w:rsid w:val="00C41538"/>
    <w:rsid w:val="00C427F5"/>
    <w:rsid w:val="00C42BB6"/>
    <w:rsid w:val="00C43009"/>
    <w:rsid w:val="00C443C2"/>
    <w:rsid w:val="00C45A93"/>
    <w:rsid w:val="00C5077E"/>
    <w:rsid w:val="00C52946"/>
    <w:rsid w:val="00C52A04"/>
    <w:rsid w:val="00C537C1"/>
    <w:rsid w:val="00C53AA0"/>
    <w:rsid w:val="00C55B89"/>
    <w:rsid w:val="00C601D5"/>
    <w:rsid w:val="00C60BA5"/>
    <w:rsid w:val="00C60DC9"/>
    <w:rsid w:val="00C62343"/>
    <w:rsid w:val="00C623F7"/>
    <w:rsid w:val="00C62998"/>
    <w:rsid w:val="00C63034"/>
    <w:rsid w:val="00C6413D"/>
    <w:rsid w:val="00C64576"/>
    <w:rsid w:val="00C653AF"/>
    <w:rsid w:val="00C65ACA"/>
    <w:rsid w:val="00C66C45"/>
    <w:rsid w:val="00C67F24"/>
    <w:rsid w:val="00C716A7"/>
    <w:rsid w:val="00C71F19"/>
    <w:rsid w:val="00C73F67"/>
    <w:rsid w:val="00C75E74"/>
    <w:rsid w:val="00C763C7"/>
    <w:rsid w:val="00C76AC4"/>
    <w:rsid w:val="00C77802"/>
    <w:rsid w:val="00C77BC3"/>
    <w:rsid w:val="00C77CB7"/>
    <w:rsid w:val="00C814F6"/>
    <w:rsid w:val="00C81801"/>
    <w:rsid w:val="00C83028"/>
    <w:rsid w:val="00C83D86"/>
    <w:rsid w:val="00C841C5"/>
    <w:rsid w:val="00C84A84"/>
    <w:rsid w:val="00C85014"/>
    <w:rsid w:val="00C86011"/>
    <w:rsid w:val="00C860FD"/>
    <w:rsid w:val="00C8675F"/>
    <w:rsid w:val="00C91BD8"/>
    <w:rsid w:val="00C92B10"/>
    <w:rsid w:val="00C94724"/>
    <w:rsid w:val="00C953DF"/>
    <w:rsid w:val="00C965DD"/>
    <w:rsid w:val="00C966DF"/>
    <w:rsid w:val="00C97001"/>
    <w:rsid w:val="00C973C3"/>
    <w:rsid w:val="00C97E68"/>
    <w:rsid w:val="00CA27FF"/>
    <w:rsid w:val="00CA32CD"/>
    <w:rsid w:val="00CA3DB6"/>
    <w:rsid w:val="00CA40DE"/>
    <w:rsid w:val="00CA478F"/>
    <w:rsid w:val="00CA56B5"/>
    <w:rsid w:val="00CA5D75"/>
    <w:rsid w:val="00CA5DFF"/>
    <w:rsid w:val="00CA7956"/>
    <w:rsid w:val="00CB0C13"/>
    <w:rsid w:val="00CB138B"/>
    <w:rsid w:val="00CB223A"/>
    <w:rsid w:val="00CB247E"/>
    <w:rsid w:val="00CB3C6E"/>
    <w:rsid w:val="00CB670E"/>
    <w:rsid w:val="00CB677B"/>
    <w:rsid w:val="00CB6E94"/>
    <w:rsid w:val="00CB74DE"/>
    <w:rsid w:val="00CB76BC"/>
    <w:rsid w:val="00CC00FD"/>
    <w:rsid w:val="00CC0D30"/>
    <w:rsid w:val="00CC22FF"/>
    <w:rsid w:val="00CC46E5"/>
    <w:rsid w:val="00CC5B56"/>
    <w:rsid w:val="00CC5D58"/>
    <w:rsid w:val="00CC6901"/>
    <w:rsid w:val="00CC7E4B"/>
    <w:rsid w:val="00CD078C"/>
    <w:rsid w:val="00CD25C2"/>
    <w:rsid w:val="00CD27BA"/>
    <w:rsid w:val="00CD2C75"/>
    <w:rsid w:val="00CD31C8"/>
    <w:rsid w:val="00CD4B01"/>
    <w:rsid w:val="00CD57FF"/>
    <w:rsid w:val="00CD5DE2"/>
    <w:rsid w:val="00CD6C97"/>
    <w:rsid w:val="00CD7776"/>
    <w:rsid w:val="00CE2366"/>
    <w:rsid w:val="00CE33DB"/>
    <w:rsid w:val="00CE3E8D"/>
    <w:rsid w:val="00CE4FAB"/>
    <w:rsid w:val="00CE5CF4"/>
    <w:rsid w:val="00CE64D2"/>
    <w:rsid w:val="00CE6C45"/>
    <w:rsid w:val="00CE77BA"/>
    <w:rsid w:val="00CF055B"/>
    <w:rsid w:val="00CF22BA"/>
    <w:rsid w:val="00CF22D4"/>
    <w:rsid w:val="00CF2864"/>
    <w:rsid w:val="00CF3443"/>
    <w:rsid w:val="00CF3C4D"/>
    <w:rsid w:val="00CF3CEB"/>
    <w:rsid w:val="00CF4252"/>
    <w:rsid w:val="00CF53AC"/>
    <w:rsid w:val="00CF774E"/>
    <w:rsid w:val="00D0220B"/>
    <w:rsid w:val="00D02B9C"/>
    <w:rsid w:val="00D05A5E"/>
    <w:rsid w:val="00D06614"/>
    <w:rsid w:val="00D06ABB"/>
    <w:rsid w:val="00D11ACB"/>
    <w:rsid w:val="00D11D6B"/>
    <w:rsid w:val="00D120A7"/>
    <w:rsid w:val="00D12B9D"/>
    <w:rsid w:val="00D135A1"/>
    <w:rsid w:val="00D14282"/>
    <w:rsid w:val="00D144D7"/>
    <w:rsid w:val="00D1454B"/>
    <w:rsid w:val="00D159BD"/>
    <w:rsid w:val="00D205C1"/>
    <w:rsid w:val="00D21EB2"/>
    <w:rsid w:val="00D22B47"/>
    <w:rsid w:val="00D23267"/>
    <w:rsid w:val="00D23479"/>
    <w:rsid w:val="00D239F3"/>
    <w:rsid w:val="00D24484"/>
    <w:rsid w:val="00D2588C"/>
    <w:rsid w:val="00D2790D"/>
    <w:rsid w:val="00D320AF"/>
    <w:rsid w:val="00D32226"/>
    <w:rsid w:val="00D3542F"/>
    <w:rsid w:val="00D37314"/>
    <w:rsid w:val="00D3784D"/>
    <w:rsid w:val="00D40BE3"/>
    <w:rsid w:val="00D4107C"/>
    <w:rsid w:val="00D41225"/>
    <w:rsid w:val="00D41B42"/>
    <w:rsid w:val="00D41C70"/>
    <w:rsid w:val="00D43F36"/>
    <w:rsid w:val="00D44FCC"/>
    <w:rsid w:val="00D4580A"/>
    <w:rsid w:val="00D4633C"/>
    <w:rsid w:val="00D46958"/>
    <w:rsid w:val="00D469C2"/>
    <w:rsid w:val="00D46DA9"/>
    <w:rsid w:val="00D46DD3"/>
    <w:rsid w:val="00D46F9E"/>
    <w:rsid w:val="00D4720E"/>
    <w:rsid w:val="00D5100A"/>
    <w:rsid w:val="00D53735"/>
    <w:rsid w:val="00D5443E"/>
    <w:rsid w:val="00D545E4"/>
    <w:rsid w:val="00D54CBA"/>
    <w:rsid w:val="00D54D54"/>
    <w:rsid w:val="00D56AB2"/>
    <w:rsid w:val="00D6019A"/>
    <w:rsid w:val="00D61B2E"/>
    <w:rsid w:val="00D61BD2"/>
    <w:rsid w:val="00D64774"/>
    <w:rsid w:val="00D655C6"/>
    <w:rsid w:val="00D658E7"/>
    <w:rsid w:val="00D6611A"/>
    <w:rsid w:val="00D6668C"/>
    <w:rsid w:val="00D6701F"/>
    <w:rsid w:val="00D67A56"/>
    <w:rsid w:val="00D700E9"/>
    <w:rsid w:val="00D702EA"/>
    <w:rsid w:val="00D70C0A"/>
    <w:rsid w:val="00D70E57"/>
    <w:rsid w:val="00D71068"/>
    <w:rsid w:val="00D72AC8"/>
    <w:rsid w:val="00D72CBC"/>
    <w:rsid w:val="00D73FC0"/>
    <w:rsid w:val="00D74464"/>
    <w:rsid w:val="00D7524C"/>
    <w:rsid w:val="00D75B90"/>
    <w:rsid w:val="00D76F95"/>
    <w:rsid w:val="00D771EC"/>
    <w:rsid w:val="00D77551"/>
    <w:rsid w:val="00D80706"/>
    <w:rsid w:val="00D80D27"/>
    <w:rsid w:val="00D81AB4"/>
    <w:rsid w:val="00D82B7F"/>
    <w:rsid w:val="00D83912"/>
    <w:rsid w:val="00D845E8"/>
    <w:rsid w:val="00D870B0"/>
    <w:rsid w:val="00D879DE"/>
    <w:rsid w:val="00D87B3C"/>
    <w:rsid w:val="00D87DA7"/>
    <w:rsid w:val="00D91AA6"/>
    <w:rsid w:val="00D9283A"/>
    <w:rsid w:val="00D942B3"/>
    <w:rsid w:val="00D94F80"/>
    <w:rsid w:val="00D97119"/>
    <w:rsid w:val="00D97B70"/>
    <w:rsid w:val="00DA02A2"/>
    <w:rsid w:val="00DA2A00"/>
    <w:rsid w:val="00DA59BA"/>
    <w:rsid w:val="00DA66E7"/>
    <w:rsid w:val="00DA7DD8"/>
    <w:rsid w:val="00DB0490"/>
    <w:rsid w:val="00DB088C"/>
    <w:rsid w:val="00DB118B"/>
    <w:rsid w:val="00DB201F"/>
    <w:rsid w:val="00DB27BF"/>
    <w:rsid w:val="00DB3739"/>
    <w:rsid w:val="00DB408E"/>
    <w:rsid w:val="00DB443B"/>
    <w:rsid w:val="00DB4487"/>
    <w:rsid w:val="00DB4D87"/>
    <w:rsid w:val="00DB5CB4"/>
    <w:rsid w:val="00DB5E21"/>
    <w:rsid w:val="00DB6033"/>
    <w:rsid w:val="00DC06DC"/>
    <w:rsid w:val="00DC3102"/>
    <w:rsid w:val="00DC37BE"/>
    <w:rsid w:val="00DC4E71"/>
    <w:rsid w:val="00DC7E3B"/>
    <w:rsid w:val="00DC7E8C"/>
    <w:rsid w:val="00DD1095"/>
    <w:rsid w:val="00DD12DE"/>
    <w:rsid w:val="00DD2172"/>
    <w:rsid w:val="00DD298A"/>
    <w:rsid w:val="00DD2B50"/>
    <w:rsid w:val="00DD3569"/>
    <w:rsid w:val="00DD4A5B"/>
    <w:rsid w:val="00DD5BBE"/>
    <w:rsid w:val="00DD67D4"/>
    <w:rsid w:val="00DD6EF5"/>
    <w:rsid w:val="00DD766B"/>
    <w:rsid w:val="00DD7D79"/>
    <w:rsid w:val="00DE2687"/>
    <w:rsid w:val="00DE2B77"/>
    <w:rsid w:val="00DE2D40"/>
    <w:rsid w:val="00DE40E5"/>
    <w:rsid w:val="00DE41E1"/>
    <w:rsid w:val="00DE44D3"/>
    <w:rsid w:val="00DE51DD"/>
    <w:rsid w:val="00DE5AF6"/>
    <w:rsid w:val="00DE68D0"/>
    <w:rsid w:val="00DE725A"/>
    <w:rsid w:val="00DE7267"/>
    <w:rsid w:val="00DE7749"/>
    <w:rsid w:val="00DF0D9E"/>
    <w:rsid w:val="00DF0FAE"/>
    <w:rsid w:val="00DF1835"/>
    <w:rsid w:val="00DF32A6"/>
    <w:rsid w:val="00DF4E6F"/>
    <w:rsid w:val="00DF55D2"/>
    <w:rsid w:val="00DF6D6C"/>
    <w:rsid w:val="00DF7F3F"/>
    <w:rsid w:val="00E023E3"/>
    <w:rsid w:val="00E02E4B"/>
    <w:rsid w:val="00E030A0"/>
    <w:rsid w:val="00E0321B"/>
    <w:rsid w:val="00E03405"/>
    <w:rsid w:val="00E0362B"/>
    <w:rsid w:val="00E038A4"/>
    <w:rsid w:val="00E05C21"/>
    <w:rsid w:val="00E05F95"/>
    <w:rsid w:val="00E0728A"/>
    <w:rsid w:val="00E07812"/>
    <w:rsid w:val="00E07889"/>
    <w:rsid w:val="00E10336"/>
    <w:rsid w:val="00E130A4"/>
    <w:rsid w:val="00E14762"/>
    <w:rsid w:val="00E14859"/>
    <w:rsid w:val="00E156E6"/>
    <w:rsid w:val="00E164B1"/>
    <w:rsid w:val="00E1663D"/>
    <w:rsid w:val="00E16879"/>
    <w:rsid w:val="00E16B3D"/>
    <w:rsid w:val="00E16E2B"/>
    <w:rsid w:val="00E17513"/>
    <w:rsid w:val="00E176AA"/>
    <w:rsid w:val="00E20385"/>
    <w:rsid w:val="00E234EB"/>
    <w:rsid w:val="00E24196"/>
    <w:rsid w:val="00E24346"/>
    <w:rsid w:val="00E24B3A"/>
    <w:rsid w:val="00E24CB6"/>
    <w:rsid w:val="00E25058"/>
    <w:rsid w:val="00E27CA3"/>
    <w:rsid w:val="00E307FB"/>
    <w:rsid w:val="00E313EA"/>
    <w:rsid w:val="00E314D7"/>
    <w:rsid w:val="00E3345A"/>
    <w:rsid w:val="00E33480"/>
    <w:rsid w:val="00E34192"/>
    <w:rsid w:val="00E36E77"/>
    <w:rsid w:val="00E37062"/>
    <w:rsid w:val="00E37F53"/>
    <w:rsid w:val="00E40064"/>
    <w:rsid w:val="00E402AD"/>
    <w:rsid w:val="00E4046A"/>
    <w:rsid w:val="00E406F4"/>
    <w:rsid w:val="00E41148"/>
    <w:rsid w:val="00E41524"/>
    <w:rsid w:val="00E42471"/>
    <w:rsid w:val="00E425C2"/>
    <w:rsid w:val="00E425C8"/>
    <w:rsid w:val="00E451C6"/>
    <w:rsid w:val="00E45380"/>
    <w:rsid w:val="00E45C79"/>
    <w:rsid w:val="00E466E1"/>
    <w:rsid w:val="00E46EF8"/>
    <w:rsid w:val="00E47DF9"/>
    <w:rsid w:val="00E517B6"/>
    <w:rsid w:val="00E5207F"/>
    <w:rsid w:val="00E526B3"/>
    <w:rsid w:val="00E52F6B"/>
    <w:rsid w:val="00E52FBE"/>
    <w:rsid w:val="00E54BA1"/>
    <w:rsid w:val="00E55D21"/>
    <w:rsid w:val="00E56488"/>
    <w:rsid w:val="00E56A52"/>
    <w:rsid w:val="00E56A9A"/>
    <w:rsid w:val="00E5714E"/>
    <w:rsid w:val="00E578EE"/>
    <w:rsid w:val="00E57D8C"/>
    <w:rsid w:val="00E60663"/>
    <w:rsid w:val="00E616AE"/>
    <w:rsid w:val="00E62907"/>
    <w:rsid w:val="00E6297C"/>
    <w:rsid w:val="00E630D7"/>
    <w:rsid w:val="00E63D36"/>
    <w:rsid w:val="00E64374"/>
    <w:rsid w:val="00E646E8"/>
    <w:rsid w:val="00E64F12"/>
    <w:rsid w:val="00E66AB7"/>
    <w:rsid w:val="00E675A8"/>
    <w:rsid w:val="00E67F45"/>
    <w:rsid w:val="00E67F68"/>
    <w:rsid w:val="00E70059"/>
    <w:rsid w:val="00E701DC"/>
    <w:rsid w:val="00E710E9"/>
    <w:rsid w:val="00E71856"/>
    <w:rsid w:val="00E723D3"/>
    <w:rsid w:val="00E727FE"/>
    <w:rsid w:val="00E740E0"/>
    <w:rsid w:val="00E742E3"/>
    <w:rsid w:val="00E7485C"/>
    <w:rsid w:val="00E756ED"/>
    <w:rsid w:val="00E76261"/>
    <w:rsid w:val="00E7633B"/>
    <w:rsid w:val="00E80B19"/>
    <w:rsid w:val="00E81E65"/>
    <w:rsid w:val="00E8275E"/>
    <w:rsid w:val="00E84E27"/>
    <w:rsid w:val="00E85947"/>
    <w:rsid w:val="00E86036"/>
    <w:rsid w:val="00E9041A"/>
    <w:rsid w:val="00E90970"/>
    <w:rsid w:val="00E913BD"/>
    <w:rsid w:val="00E92E17"/>
    <w:rsid w:val="00E933DA"/>
    <w:rsid w:val="00E938A8"/>
    <w:rsid w:val="00E95E1D"/>
    <w:rsid w:val="00E964BA"/>
    <w:rsid w:val="00E97B7E"/>
    <w:rsid w:val="00EA0AF2"/>
    <w:rsid w:val="00EA0EC2"/>
    <w:rsid w:val="00EA1C55"/>
    <w:rsid w:val="00EA2410"/>
    <w:rsid w:val="00EA2CB6"/>
    <w:rsid w:val="00EA63B3"/>
    <w:rsid w:val="00EB0817"/>
    <w:rsid w:val="00EB0C3C"/>
    <w:rsid w:val="00EB0F91"/>
    <w:rsid w:val="00EB2051"/>
    <w:rsid w:val="00EB2056"/>
    <w:rsid w:val="00EB2718"/>
    <w:rsid w:val="00EB2EFF"/>
    <w:rsid w:val="00EB3366"/>
    <w:rsid w:val="00EB3463"/>
    <w:rsid w:val="00EB39FF"/>
    <w:rsid w:val="00EB51F3"/>
    <w:rsid w:val="00EB5721"/>
    <w:rsid w:val="00EB5991"/>
    <w:rsid w:val="00EB6278"/>
    <w:rsid w:val="00EB653C"/>
    <w:rsid w:val="00EB77F6"/>
    <w:rsid w:val="00EC00F1"/>
    <w:rsid w:val="00EC0C97"/>
    <w:rsid w:val="00EC1BED"/>
    <w:rsid w:val="00EC2467"/>
    <w:rsid w:val="00EC316F"/>
    <w:rsid w:val="00EC37EB"/>
    <w:rsid w:val="00EC51EF"/>
    <w:rsid w:val="00EC5FC7"/>
    <w:rsid w:val="00EC6C42"/>
    <w:rsid w:val="00EC737F"/>
    <w:rsid w:val="00ED01B4"/>
    <w:rsid w:val="00ED188F"/>
    <w:rsid w:val="00ED3A14"/>
    <w:rsid w:val="00ED3E0F"/>
    <w:rsid w:val="00ED3F32"/>
    <w:rsid w:val="00ED4562"/>
    <w:rsid w:val="00ED5294"/>
    <w:rsid w:val="00ED546B"/>
    <w:rsid w:val="00ED608D"/>
    <w:rsid w:val="00ED614F"/>
    <w:rsid w:val="00ED628B"/>
    <w:rsid w:val="00ED7E54"/>
    <w:rsid w:val="00EE0255"/>
    <w:rsid w:val="00EE0333"/>
    <w:rsid w:val="00EE0598"/>
    <w:rsid w:val="00EE0DE9"/>
    <w:rsid w:val="00EE106C"/>
    <w:rsid w:val="00EE1F14"/>
    <w:rsid w:val="00EE2482"/>
    <w:rsid w:val="00EE32BD"/>
    <w:rsid w:val="00EE45D1"/>
    <w:rsid w:val="00EE4838"/>
    <w:rsid w:val="00EE65CA"/>
    <w:rsid w:val="00EE77EA"/>
    <w:rsid w:val="00EE785F"/>
    <w:rsid w:val="00EE7FA5"/>
    <w:rsid w:val="00EF010A"/>
    <w:rsid w:val="00EF0372"/>
    <w:rsid w:val="00EF1CBE"/>
    <w:rsid w:val="00EF2443"/>
    <w:rsid w:val="00EF2709"/>
    <w:rsid w:val="00EF3084"/>
    <w:rsid w:val="00EF362D"/>
    <w:rsid w:val="00EF3C06"/>
    <w:rsid w:val="00EF3CDD"/>
    <w:rsid w:val="00EF3E32"/>
    <w:rsid w:val="00EF45CE"/>
    <w:rsid w:val="00EF4F67"/>
    <w:rsid w:val="00EF52E6"/>
    <w:rsid w:val="00EF5FF5"/>
    <w:rsid w:val="00EF604F"/>
    <w:rsid w:val="00EF64F5"/>
    <w:rsid w:val="00EF7497"/>
    <w:rsid w:val="00F004E7"/>
    <w:rsid w:val="00F00F8B"/>
    <w:rsid w:val="00F01049"/>
    <w:rsid w:val="00F0241B"/>
    <w:rsid w:val="00F0310F"/>
    <w:rsid w:val="00F036E6"/>
    <w:rsid w:val="00F040CC"/>
    <w:rsid w:val="00F04EB9"/>
    <w:rsid w:val="00F05683"/>
    <w:rsid w:val="00F0674E"/>
    <w:rsid w:val="00F1084D"/>
    <w:rsid w:val="00F11EA6"/>
    <w:rsid w:val="00F12454"/>
    <w:rsid w:val="00F12464"/>
    <w:rsid w:val="00F1449D"/>
    <w:rsid w:val="00F14957"/>
    <w:rsid w:val="00F15D6B"/>
    <w:rsid w:val="00F15EFD"/>
    <w:rsid w:val="00F17345"/>
    <w:rsid w:val="00F203CB"/>
    <w:rsid w:val="00F213DD"/>
    <w:rsid w:val="00F216A7"/>
    <w:rsid w:val="00F21D14"/>
    <w:rsid w:val="00F24038"/>
    <w:rsid w:val="00F265DD"/>
    <w:rsid w:val="00F2684D"/>
    <w:rsid w:val="00F26C14"/>
    <w:rsid w:val="00F26F27"/>
    <w:rsid w:val="00F272B9"/>
    <w:rsid w:val="00F27A4C"/>
    <w:rsid w:val="00F27BFB"/>
    <w:rsid w:val="00F30AAD"/>
    <w:rsid w:val="00F3156C"/>
    <w:rsid w:val="00F32E6D"/>
    <w:rsid w:val="00F34F7A"/>
    <w:rsid w:val="00F34F7C"/>
    <w:rsid w:val="00F36D5B"/>
    <w:rsid w:val="00F37F81"/>
    <w:rsid w:val="00F40FFC"/>
    <w:rsid w:val="00F41266"/>
    <w:rsid w:val="00F41A32"/>
    <w:rsid w:val="00F42725"/>
    <w:rsid w:val="00F43EF7"/>
    <w:rsid w:val="00F44092"/>
    <w:rsid w:val="00F44A46"/>
    <w:rsid w:val="00F44B12"/>
    <w:rsid w:val="00F44F96"/>
    <w:rsid w:val="00F462D8"/>
    <w:rsid w:val="00F46A91"/>
    <w:rsid w:val="00F47331"/>
    <w:rsid w:val="00F476C8"/>
    <w:rsid w:val="00F50234"/>
    <w:rsid w:val="00F507CC"/>
    <w:rsid w:val="00F50BC4"/>
    <w:rsid w:val="00F5155E"/>
    <w:rsid w:val="00F5176C"/>
    <w:rsid w:val="00F51E56"/>
    <w:rsid w:val="00F53E62"/>
    <w:rsid w:val="00F54722"/>
    <w:rsid w:val="00F54C11"/>
    <w:rsid w:val="00F54F77"/>
    <w:rsid w:val="00F552B9"/>
    <w:rsid w:val="00F5602D"/>
    <w:rsid w:val="00F56C9F"/>
    <w:rsid w:val="00F56E6A"/>
    <w:rsid w:val="00F571ED"/>
    <w:rsid w:val="00F6062F"/>
    <w:rsid w:val="00F60644"/>
    <w:rsid w:val="00F60841"/>
    <w:rsid w:val="00F60B39"/>
    <w:rsid w:val="00F60FA9"/>
    <w:rsid w:val="00F63553"/>
    <w:rsid w:val="00F63886"/>
    <w:rsid w:val="00F641E2"/>
    <w:rsid w:val="00F64E06"/>
    <w:rsid w:val="00F655F3"/>
    <w:rsid w:val="00F65D8D"/>
    <w:rsid w:val="00F670DB"/>
    <w:rsid w:val="00F6723F"/>
    <w:rsid w:val="00F6731F"/>
    <w:rsid w:val="00F67B1A"/>
    <w:rsid w:val="00F712AC"/>
    <w:rsid w:val="00F73122"/>
    <w:rsid w:val="00F744A3"/>
    <w:rsid w:val="00F74508"/>
    <w:rsid w:val="00F74785"/>
    <w:rsid w:val="00F75679"/>
    <w:rsid w:val="00F76605"/>
    <w:rsid w:val="00F80219"/>
    <w:rsid w:val="00F803D0"/>
    <w:rsid w:val="00F81CE7"/>
    <w:rsid w:val="00F822FA"/>
    <w:rsid w:val="00F82AED"/>
    <w:rsid w:val="00F8499C"/>
    <w:rsid w:val="00F86F0E"/>
    <w:rsid w:val="00F9005F"/>
    <w:rsid w:val="00F905CA"/>
    <w:rsid w:val="00F90D04"/>
    <w:rsid w:val="00F91D36"/>
    <w:rsid w:val="00F92C22"/>
    <w:rsid w:val="00F93466"/>
    <w:rsid w:val="00F94BA2"/>
    <w:rsid w:val="00F957BE"/>
    <w:rsid w:val="00F95838"/>
    <w:rsid w:val="00F95899"/>
    <w:rsid w:val="00F959A4"/>
    <w:rsid w:val="00F96084"/>
    <w:rsid w:val="00F960BD"/>
    <w:rsid w:val="00F968D0"/>
    <w:rsid w:val="00FA007A"/>
    <w:rsid w:val="00FA0372"/>
    <w:rsid w:val="00FA097E"/>
    <w:rsid w:val="00FA238E"/>
    <w:rsid w:val="00FA2619"/>
    <w:rsid w:val="00FA2829"/>
    <w:rsid w:val="00FA28EF"/>
    <w:rsid w:val="00FA3DB1"/>
    <w:rsid w:val="00FA418B"/>
    <w:rsid w:val="00FA539F"/>
    <w:rsid w:val="00FA554A"/>
    <w:rsid w:val="00FA5A09"/>
    <w:rsid w:val="00FA5B7C"/>
    <w:rsid w:val="00FA5EFA"/>
    <w:rsid w:val="00FA6173"/>
    <w:rsid w:val="00FA6B4A"/>
    <w:rsid w:val="00FB0ECA"/>
    <w:rsid w:val="00FB21B5"/>
    <w:rsid w:val="00FB2AFC"/>
    <w:rsid w:val="00FB32E7"/>
    <w:rsid w:val="00FB3720"/>
    <w:rsid w:val="00FB4024"/>
    <w:rsid w:val="00FB5ADA"/>
    <w:rsid w:val="00FB6607"/>
    <w:rsid w:val="00FB78DF"/>
    <w:rsid w:val="00FC0A61"/>
    <w:rsid w:val="00FC18C4"/>
    <w:rsid w:val="00FC27B0"/>
    <w:rsid w:val="00FC32BE"/>
    <w:rsid w:val="00FC3BE8"/>
    <w:rsid w:val="00FC4461"/>
    <w:rsid w:val="00FC465C"/>
    <w:rsid w:val="00FC5220"/>
    <w:rsid w:val="00FC5E7F"/>
    <w:rsid w:val="00FC6172"/>
    <w:rsid w:val="00FD0074"/>
    <w:rsid w:val="00FD0BA6"/>
    <w:rsid w:val="00FD7D46"/>
    <w:rsid w:val="00FE50E4"/>
    <w:rsid w:val="00FE7B34"/>
    <w:rsid w:val="00FF0E0E"/>
    <w:rsid w:val="00FF1D83"/>
    <w:rsid w:val="00FF291D"/>
    <w:rsid w:val="00FF4C01"/>
    <w:rsid w:val="00FF4CF3"/>
    <w:rsid w:val="00FF5105"/>
    <w:rsid w:val="00FF537D"/>
    <w:rsid w:val="00FF55C1"/>
    <w:rsid w:val="00FF6526"/>
    <w:rsid w:val="00FF6E36"/>
    <w:rsid w:val="01274F14"/>
    <w:rsid w:val="01303A9E"/>
    <w:rsid w:val="01383FD0"/>
    <w:rsid w:val="01451617"/>
    <w:rsid w:val="015B75E9"/>
    <w:rsid w:val="0190158D"/>
    <w:rsid w:val="01B77047"/>
    <w:rsid w:val="0203063D"/>
    <w:rsid w:val="02043122"/>
    <w:rsid w:val="02055635"/>
    <w:rsid w:val="02151639"/>
    <w:rsid w:val="02346456"/>
    <w:rsid w:val="024E269D"/>
    <w:rsid w:val="0250503F"/>
    <w:rsid w:val="029F57DD"/>
    <w:rsid w:val="02AA4BAA"/>
    <w:rsid w:val="02D738A3"/>
    <w:rsid w:val="034464B8"/>
    <w:rsid w:val="036576B8"/>
    <w:rsid w:val="03B1653D"/>
    <w:rsid w:val="03C71EFB"/>
    <w:rsid w:val="03D735B0"/>
    <w:rsid w:val="03FA6CDF"/>
    <w:rsid w:val="0424390F"/>
    <w:rsid w:val="04365FFA"/>
    <w:rsid w:val="044310A8"/>
    <w:rsid w:val="04494A43"/>
    <w:rsid w:val="046D244C"/>
    <w:rsid w:val="046F1BE2"/>
    <w:rsid w:val="04822D08"/>
    <w:rsid w:val="04C851F1"/>
    <w:rsid w:val="04EF26B4"/>
    <w:rsid w:val="04FB048C"/>
    <w:rsid w:val="05096B07"/>
    <w:rsid w:val="052C29BF"/>
    <w:rsid w:val="05337A63"/>
    <w:rsid w:val="05516500"/>
    <w:rsid w:val="05566EE0"/>
    <w:rsid w:val="055C5785"/>
    <w:rsid w:val="05C92B0B"/>
    <w:rsid w:val="05F06637"/>
    <w:rsid w:val="06517EE9"/>
    <w:rsid w:val="06605E70"/>
    <w:rsid w:val="06A63AED"/>
    <w:rsid w:val="06A937C8"/>
    <w:rsid w:val="06C55EEB"/>
    <w:rsid w:val="07004918"/>
    <w:rsid w:val="070B6221"/>
    <w:rsid w:val="07654B87"/>
    <w:rsid w:val="07BA720E"/>
    <w:rsid w:val="07CB7156"/>
    <w:rsid w:val="07E13B30"/>
    <w:rsid w:val="07EE2CA7"/>
    <w:rsid w:val="081F2D4C"/>
    <w:rsid w:val="084E2ACF"/>
    <w:rsid w:val="084F19C0"/>
    <w:rsid w:val="08603404"/>
    <w:rsid w:val="08635040"/>
    <w:rsid w:val="08B2562B"/>
    <w:rsid w:val="08B5584D"/>
    <w:rsid w:val="08BF5E5A"/>
    <w:rsid w:val="09190838"/>
    <w:rsid w:val="092A04DE"/>
    <w:rsid w:val="095C7B83"/>
    <w:rsid w:val="096665B1"/>
    <w:rsid w:val="098F731B"/>
    <w:rsid w:val="0996625D"/>
    <w:rsid w:val="09DE2A70"/>
    <w:rsid w:val="09FF39ED"/>
    <w:rsid w:val="0A1F4EA7"/>
    <w:rsid w:val="0A3A0C76"/>
    <w:rsid w:val="0AB834F3"/>
    <w:rsid w:val="0ABF0DA2"/>
    <w:rsid w:val="0ACA6E83"/>
    <w:rsid w:val="0ACE0B6C"/>
    <w:rsid w:val="0AEE6792"/>
    <w:rsid w:val="0B2017C8"/>
    <w:rsid w:val="0B6A33DC"/>
    <w:rsid w:val="0B6E1DBA"/>
    <w:rsid w:val="0BE64801"/>
    <w:rsid w:val="0C7965AF"/>
    <w:rsid w:val="0C8E3524"/>
    <w:rsid w:val="0C95751F"/>
    <w:rsid w:val="0CD12BB9"/>
    <w:rsid w:val="0D405950"/>
    <w:rsid w:val="0D63355E"/>
    <w:rsid w:val="0D6402AD"/>
    <w:rsid w:val="0D6E00F5"/>
    <w:rsid w:val="0D891B01"/>
    <w:rsid w:val="0D9A080E"/>
    <w:rsid w:val="0DC63FC3"/>
    <w:rsid w:val="0DE27351"/>
    <w:rsid w:val="0E133FA6"/>
    <w:rsid w:val="0E195228"/>
    <w:rsid w:val="0E2217A8"/>
    <w:rsid w:val="0E743FD3"/>
    <w:rsid w:val="0E925E78"/>
    <w:rsid w:val="0EA20C5D"/>
    <w:rsid w:val="0EA54211"/>
    <w:rsid w:val="0EA66908"/>
    <w:rsid w:val="0EB36468"/>
    <w:rsid w:val="0EDB759D"/>
    <w:rsid w:val="0F152DA9"/>
    <w:rsid w:val="0F260DEC"/>
    <w:rsid w:val="0F361774"/>
    <w:rsid w:val="0F3B7D92"/>
    <w:rsid w:val="0F66630C"/>
    <w:rsid w:val="0FCB5DCA"/>
    <w:rsid w:val="0FF10449"/>
    <w:rsid w:val="10485433"/>
    <w:rsid w:val="104C2911"/>
    <w:rsid w:val="107B6F12"/>
    <w:rsid w:val="10CE0894"/>
    <w:rsid w:val="114E25C3"/>
    <w:rsid w:val="11604A5C"/>
    <w:rsid w:val="1176169D"/>
    <w:rsid w:val="117C68E7"/>
    <w:rsid w:val="118263A1"/>
    <w:rsid w:val="119603EC"/>
    <w:rsid w:val="11A331FA"/>
    <w:rsid w:val="11DB161D"/>
    <w:rsid w:val="120038A1"/>
    <w:rsid w:val="124D4083"/>
    <w:rsid w:val="12701BF6"/>
    <w:rsid w:val="12C117E9"/>
    <w:rsid w:val="12DE47E6"/>
    <w:rsid w:val="12F639E2"/>
    <w:rsid w:val="13117BFA"/>
    <w:rsid w:val="131B39D2"/>
    <w:rsid w:val="133D1517"/>
    <w:rsid w:val="134B367E"/>
    <w:rsid w:val="136532E8"/>
    <w:rsid w:val="139A437C"/>
    <w:rsid w:val="13CC1FE7"/>
    <w:rsid w:val="13D06DAA"/>
    <w:rsid w:val="13F21652"/>
    <w:rsid w:val="14424D41"/>
    <w:rsid w:val="14650F36"/>
    <w:rsid w:val="14D251DA"/>
    <w:rsid w:val="14E2177A"/>
    <w:rsid w:val="155913AC"/>
    <w:rsid w:val="15DC59FB"/>
    <w:rsid w:val="1614567C"/>
    <w:rsid w:val="16271ECD"/>
    <w:rsid w:val="16314A14"/>
    <w:rsid w:val="16A76302"/>
    <w:rsid w:val="16C521B5"/>
    <w:rsid w:val="16E245C5"/>
    <w:rsid w:val="16F3593D"/>
    <w:rsid w:val="16F70D91"/>
    <w:rsid w:val="173A3666"/>
    <w:rsid w:val="17405D8B"/>
    <w:rsid w:val="17482177"/>
    <w:rsid w:val="17745C73"/>
    <w:rsid w:val="17795D6E"/>
    <w:rsid w:val="177A32CC"/>
    <w:rsid w:val="17C3523B"/>
    <w:rsid w:val="17DF684D"/>
    <w:rsid w:val="17EB2220"/>
    <w:rsid w:val="17F31E94"/>
    <w:rsid w:val="181736F0"/>
    <w:rsid w:val="18301873"/>
    <w:rsid w:val="185D59F5"/>
    <w:rsid w:val="18652B97"/>
    <w:rsid w:val="18D24826"/>
    <w:rsid w:val="1930763A"/>
    <w:rsid w:val="193564B7"/>
    <w:rsid w:val="198F35F7"/>
    <w:rsid w:val="199667D2"/>
    <w:rsid w:val="19C63AD7"/>
    <w:rsid w:val="19C9590C"/>
    <w:rsid w:val="19E94399"/>
    <w:rsid w:val="19EC5D5F"/>
    <w:rsid w:val="19EF6331"/>
    <w:rsid w:val="1A7D2861"/>
    <w:rsid w:val="1A901B1D"/>
    <w:rsid w:val="1AA40BC5"/>
    <w:rsid w:val="1AA52927"/>
    <w:rsid w:val="1AFC093E"/>
    <w:rsid w:val="1B311229"/>
    <w:rsid w:val="1B4124E1"/>
    <w:rsid w:val="1B751D18"/>
    <w:rsid w:val="1B837689"/>
    <w:rsid w:val="1B970EB9"/>
    <w:rsid w:val="1BA35581"/>
    <w:rsid w:val="1BBC1B6B"/>
    <w:rsid w:val="1BE54206"/>
    <w:rsid w:val="1C1224F7"/>
    <w:rsid w:val="1C215860"/>
    <w:rsid w:val="1C3B088A"/>
    <w:rsid w:val="1CD120FF"/>
    <w:rsid w:val="1CDF6B41"/>
    <w:rsid w:val="1D2F3F5E"/>
    <w:rsid w:val="1D30583D"/>
    <w:rsid w:val="1D370008"/>
    <w:rsid w:val="1D52110B"/>
    <w:rsid w:val="1D6920D8"/>
    <w:rsid w:val="1DB908D8"/>
    <w:rsid w:val="1DF127C5"/>
    <w:rsid w:val="1EA43D4B"/>
    <w:rsid w:val="1ECB6CF3"/>
    <w:rsid w:val="1ED63936"/>
    <w:rsid w:val="1EE82E44"/>
    <w:rsid w:val="1F095BCD"/>
    <w:rsid w:val="1F324176"/>
    <w:rsid w:val="1F3839D1"/>
    <w:rsid w:val="1F464788"/>
    <w:rsid w:val="1FB35C2A"/>
    <w:rsid w:val="1FB7392F"/>
    <w:rsid w:val="20056B7A"/>
    <w:rsid w:val="200A7C06"/>
    <w:rsid w:val="20245B77"/>
    <w:rsid w:val="20443B05"/>
    <w:rsid w:val="20540405"/>
    <w:rsid w:val="20AB7349"/>
    <w:rsid w:val="20B11C5C"/>
    <w:rsid w:val="20BE2EDB"/>
    <w:rsid w:val="20DC1B4D"/>
    <w:rsid w:val="20E75FEA"/>
    <w:rsid w:val="21386BBD"/>
    <w:rsid w:val="219A49A8"/>
    <w:rsid w:val="21BE7C5E"/>
    <w:rsid w:val="21CA74E9"/>
    <w:rsid w:val="21DE261D"/>
    <w:rsid w:val="21EC2BAB"/>
    <w:rsid w:val="21F22C88"/>
    <w:rsid w:val="22A60EB5"/>
    <w:rsid w:val="22C970D5"/>
    <w:rsid w:val="22D23494"/>
    <w:rsid w:val="22D81D21"/>
    <w:rsid w:val="230F0A4B"/>
    <w:rsid w:val="23165F69"/>
    <w:rsid w:val="23533E96"/>
    <w:rsid w:val="238263F4"/>
    <w:rsid w:val="239255F7"/>
    <w:rsid w:val="23933E7C"/>
    <w:rsid w:val="23AF4937"/>
    <w:rsid w:val="24011960"/>
    <w:rsid w:val="24054A11"/>
    <w:rsid w:val="241137D9"/>
    <w:rsid w:val="242B073B"/>
    <w:rsid w:val="24536CA2"/>
    <w:rsid w:val="245A05CA"/>
    <w:rsid w:val="24B66F7B"/>
    <w:rsid w:val="24B95CB1"/>
    <w:rsid w:val="25101C98"/>
    <w:rsid w:val="2549427F"/>
    <w:rsid w:val="25974A42"/>
    <w:rsid w:val="25E037D0"/>
    <w:rsid w:val="26375866"/>
    <w:rsid w:val="268C368D"/>
    <w:rsid w:val="26B92AA7"/>
    <w:rsid w:val="26BE19EF"/>
    <w:rsid w:val="26D821CC"/>
    <w:rsid w:val="27251824"/>
    <w:rsid w:val="273F2C97"/>
    <w:rsid w:val="276D0E79"/>
    <w:rsid w:val="279F2C36"/>
    <w:rsid w:val="28453812"/>
    <w:rsid w:val="28E10513"/>
    <w:rsid w:val="28EC1885"/>
    <w:rsid w:val="29212C84"/>
    <w:rsid w:val="2933177B"/>
    <w:rsid w:val="2974095E"/>
    <w:rsid w:val="29927401"/>
    <w:rsid w:val="299B6946"/>
    <w:rsid w:val="29C04EC5"/>
    <w:rsid w:val="29DE1E4D"/>
    <w:rsid w:val="2A0A7696"/>
    <w:rsid w:val="2A0D0F0C"/>
    <w:rsid w:val="2A176C00"/>
    <w:rsid w:val="2A6B1D80"/>
    <w:rsid w:val="2ADB6EB7"/>
    <w:rsid w:val="2AFB54C5"/>
    <w:rsid w:val="2B055F8A"/>
    <w:rsid w:val="2B0C03A4"/>
    <w:rsid w:val="2B200651"/>
    <w:rsid w:val="2B351762"/>
    <w:rsid w:val="2B3841A3"/>
    <w:rsid w:val="2B6F658C"/>
    <w:rsid w:val="2BAC257E"/>
    <w:rsid w:val="2BB440A0"/>
    <w:rsid w:val="2CD72B87"/>
    <w:rsid w:val="2D1230C5"/>
    <w:rsid w:val="2D511017"/>
    <w:rsid w:val="2D681ADE"/>
    <w:rsid w:val="2D7E5217"/>
    <w:rsid w:val="2DA67B66"/>
    <w:rsid w:val="2DFD7CDE"/>
    <w:rsid w:val="2E645A4D"/>
    <w:rsid w:val="2E8818C4"/>
    <w:rsid w:val="2E922D73"/>
    <w:rsid w:val="2EBA1864"/>
    <w:rsid w:val="2EF22E53"/>
    <w:rsid w:val="2F0A6734"/>
    <w:rsid w:val="2F3D79D9"/>
    <w:rsid w:val="2F4219B8"/>
    <w:rsid w:val="2F434BA1"/>
    <w:rsid w:val="2FC36919"/>
    <w:rsid w:val="2FC935F5"/>
    <w:rsid w:val="3019494D"/>
    <w:rsid w:val="302F5F5A"/>
    <w:rsid w:val="305C6B22"/>
    <w:rsid w:val="308A649E"/>
    <w:rsid w:val="30A5696A"/>
    <w:rsid w:val="30C27B53"/>
    <w:rsid w:val="30E74DA6"/>
    <w:rsid w:val="30EC34E0"/>
    <w:rsid w:val="31172A76"/>
    <w:rsid w:val="31841167"/>
    <w:rsid w:val="31962F66"/>
    <w:rsid w:val="31C829A3"/>
    <w:rsid w:val="3210425F"/>
    <w:rsid w:val="32187907"/>
    <w:rsid w:val="3225574D"/>
    <w:rsid w:val="323F15CD"/>
    <w:rsid w:val="32484C4E"/>
    <w:rsid w:val="32605D06"/>
    <w:rsid w:val="32AE4462"/>
    <w:rsid w:val="32CE459D"/>
    <w:rsid w:val="32E90B44"/>
    <w:rsid w:val="338C2DC2"/>
    <w:rsid w:val="33A43C30"/>
    <w:rsid w:val="33CE2C57"/>
    <w:rsid w:val="33DE6B77"/>
    <w:rsid w:val="33EC512B"/>
    <w:rsid w:val="340506B1"/>
    <w:rsid w:val="341C101E"/>
    <w:rsid w:val="346F43F1"/>
    <w:rsid w:val="347D281C"/>
    <w:rsid w:val="34CA4A1E"/>
    <w:rsid w:val="35186AD7"/>
    <w:rsid w:val="35441A8C"/>
    <w:rsid w:val="355A3D41"/>
    <w:rsid w:val="35691819"/>
    <w:rsid w:val="357D0613"/>
    <w:rsid w:val="35935C77"/>
    <w:rsid w:val="361874D0"/>
    <w:rsid w:val="363F36D5"/>
    <w:rsid w:val="364D7488"/>
    <w:rsid w:val="36741E16"/>
    <w:rsid w:val="36D654B6"/>
    <w:rsid w:val="36DD32BF"/>
    <w:rsid w:val="370C7272"/>
    <w:rsid w:val="371E4419"/>
    <w:rsid w:val="372F21F8"/>
    <w:rsid w:val="37450A23"/>
    <w:rsid w:val="37482467"/>
    <w:rsid w:val="37496341"/>
    <w:rsid w:val="375A10AE"/>
    <w:rsid w:val="375F18CE"/>
    <w:rsid w:val="376D3A14"/>
    <w:rsid w:val="377543D4"/>
    <w:rsid w:val="379E050A"/>
    <w:rsid w:val="37A227C0"/>
    <w:rsid w:val="37B476D7"/>
    <w:rsid w:val="37FE1083"/>
    <w:rsid w:val="38112289"/>
    <w:rsid w:val="381439C0"/>
    <w:rsid w:val="382C54C9"/>
    <w:rsid w:val="38531A59"/>
    <w:rsid w:val="389567FE"/>
    <w:rsid w:val="389B0595"/>
    <w:rsid w:val="38A47140"/>
    <w:rsid w:val="38E023F4"/>
    <w:rsid w:val="38F80946"/>
    <w:rsid w:val="39197560"/>
    <w:rsid w:val="39875A90"/>
    <w:rsid w:val="39A53523"/>
    <w:rsid w:val="39A75360"/>
    <w:rsid w:val="39C661B5"/>
    <w:rsid w:val="3A6570A1"/>
    <w:rsid w:val="3A6B0DF4"/>
    <w:rsid w:val="3A883352"/>
    <w:rsid w:val="3A98285C"/>
    <w:rsid w:val="3AB16AFD"/>
    <w:rsid w:val="3ABD3CF2"/>
    <w:rsid w:val="3AD17D91"/>
    <w:rsid w:val="3AD23706"/>
    <w:rsid w:val="3AD54D74"/>
    <w:rsid w:val="3ADF1772"/>
    <w:rsid w:val="3AE83617"/>
    <w:rsid w:val="3B97471C"/>
    <w:rsid w:val="3C681D8A"/>
    <w:rsid w:val="3CA81DE7"/>
    <w:rsid w:val="3CCB19D6"/>
    <w:rsid w:val="3CE27D8E"/>
    <w:rsid w:val="3CE90590"/>
    <w:rsid w:val="3D056DE5"/>
    <w:rsid w:val="3D0C1D7C"/>
    <w:rsid w:val="3D150381"/>
    <w:rsid w:val="3D242DC0"/>
    <w:rsid w:val="3D3357D0"/>
    <w:rsid w:val="3D444D9B"/>
    <w:rsid w:val="3D603B0C"/>
    <w:rsid w:val="3D9A53D2"/>
    <w:rsid w:val="3DA82763"/>
    <w:rsid w:val="3DBE277F"/>
    <w:rsid w:val="3DC97A7A"/>
    <w:rsid w:val="3EB24A80"/>
    <w:rsid w:val="3EF344A0"/>
    <w:rsid w:val="3F0C5499"/>
    <w:rsid w:val="3F266B61"/>
    <w:rsid w:val="3F271710"/>
    <w:rsid w:val="3F564F2E"/>
    <w:rsid w:val="3F5A618E"/>
    <w:rsid w:val="3FAF0F32"/>
    <w:rsid w:val="3FDD4B70"/>
    <w:rsid w:val="3FE21E53"/>
    <w:rsid w:val="4029025C"/>
    <w:rsid w:val="403C0BE5"/>
    <w:rsid w:val="406538E2"/>
    <w:rsid w:val="40840B84"/>
    <w:rsid w:val="40995259"/>
    <w:rsid w:val="40AF72DD"/>
    <w:rsid w:val="40E6513A"/>
    <w:rsid w:val="41277CAD"/>
    <w:rsid w:val="413A1706"/>
    <w:rsid w:val="41571710"/>
    <w:rsid w:val="417254CB"/>
    <w:rsid w:val="418A329E"/>
    <w:rsid w:val="418C678A"/>
    <w:rsid w:val="41D9151C"/>
    <w:rsid w:val="41DE7B28"/>
    <w:rsid w:val="421C406A"/>
    <w:rsid w:val="421C69ED"/>
    <w:rsid w:val="4226608E"/>
    <w:rsid w:val="423D3A47"/>
    <w:rsid w:val="423F7E57"/>
    <w:rsid w:val="4241538E"/>
    <w:rsid w:val="42477280"/>
    <w:rsid w:val="428A3D33"/>
    <w:rsid w:val="428B61F9"/>
    <w:rsid w:val="42F62C46"/>
    <w:rsid w:val="433112AC"/>
    <w:rsid w:val="434E0C0A"/>
    <w:rsid w:val="43515A85"/>
    <w:rsid w:val="436C1111"/>
    <w:rsid w:val="438D6152"/>
    <w:rsid w:val="43C1646E"/>
    <w:rsid w:val="43C54EEF"/>
    <w:rsid w:val="43D04041"/>
    <w:rsid w:val="443B1E1A"/>
    <w:rsid w:val="446818C9"/>
    <w:rsid w:val="44A17A7E"/>
    <w:rsid w:val="44EE06E7"/>
    <w:rsid w:val="453C2484"/>
    <w:rsid w:val="453D6989"/>
    <w:rsid w:val="45A56A0C"/>
    <w:rsid w:val="45BA70B1"/>
    <w:rsid w:val="45EA2CE8"/>
    <w:rsid w:val="45F74EDF"/>
    <w:rsid w:val="4600059B"/>
    <w:rsid w:val="462D006C"/>
    <w:rsid w:val="464C07A8"/>
    <w:rsid w:val="468C592A"/>
    <w:rsid w:val="46AB5174"/>
    <w:rsid w:val="46B700F8"/>
    <w:rsid w:val="46BB44BC"/>
    <w:rsid w:val="471A7500"/>
    <w:rsid w:val="47510996"/>
    <w:rsid w:val="47570AD2"/>
    <w:rsid w:val="47580314"/>
    <w:rsid w:val="47A8634D"/>
    <w:rsid w:val="4804144A"/>
    <w:rsid w:val="486A7361"/>
    <w:rsid w:val="48C05E0B"/>
    <w:rsid w:val="48C93CA5"/>
    <w:rsid w:val="490671E3"/>
    <w:rsid w:val="490E1280"/>
    <w:rsid w:val="4922407A"/>
    <w:rsid w:val="497B7D9F"/>
    <w:rsid w:val="498E6CD6"/>
    <w:rsid w:val="49BD25AC"/>
    <w:rsid w:val="49C42695"/>
    <w:rsid w:val="49C93F25"/>
    <w:rsid w:val="49D14B65"/>
    <w:rsid w:val="49E609F9"/>
    <w:rsid w:val="4A222B3D"/>
    <w:rsid w:val="4A774D0A"/>
    <w:rsid w:val="4A803067"/>
    <w:rsid w:val="4AB74840"/>
    <w:rsid w:val="4AD728D0"/>
    <w:rsid w:val="4ADF597A"/>
    <w:rsid w:val="4AE30D8B"/>
    <w:rsid w:val="4B2D7D43"/>
    <w:rsid w:val="4B91508D"/>
    <w:rsid w:val="4C007810"/>
    <w:rsid w:val="4C450FB8"/>
    <w:rsid w:val="4C5E5EB9"/>
    <w:rsid w:val="4C747E14"/>
    <w:rsid w:val="4CA84AAD"/>
    <w:rsid w:val="4CAC0E3F"/>
    <w:rsid w:val="4D0C4347"/>
    <w:rsid w:val="4D2B53D3"/>
    <w:rsid w:val="4D807BBE"/>
    <w:rsid w:val="4DD34327"/>
    <w:rsid w:val="4E01515D"/>
    <w:rsid w:val="4E405991"/>
    <w:rsid w:val="4E644A95"/>
    <w:rsid w:val="4E656BC0"/>
    <w:rsid w:val="4E65774D"/>
    <w:rsid w:val="4EC27565"/>
    <w:rsid w:val="4F0023CD"/>
    <w:rsid w:val="4F056DE1"/>
    <w:rsid w:val="4F19757E"/>
    <w:rsid w:val="4F223D03"/>
    <w:rsid w:val="4F56777E"/>
    <w:rsid w:val="4F863AFB"/>
    <w:rsid w:val="4FCB101C"/>
    <w:rsid w:val="4FD50075"/>
    <w:rsid w:val="4FE1184E"/>
    <w:rsid w:val="50343201"/>
    <w:rsid w:val="50602A1B"/>
    <w:rsid w:val="50612797"/>
    <w:rsid w:val="506C1BC9"/>
    <w:rsid w:val="50BB53A5"/>
    <w:rsid w:val="50D937F3"/>
    <w:rsid w:val="50FB1272"/>
    <w:rsid w:val="5111443F"/>
    <w:rsid w:val="51174AAA"/>
    <w:rsid w:val="518D3499"/>
    <w:rsid w:val="51C54E50"/>
    <w:rsid w:val="51DE290C"/>
    <w:rsid w:val="521356D1"/>
    <w:rsid w:val="52532C9B"/>
    <w:rsid w:val="53494392"/>
    <w:rsid w:val="535809C3"/>
    <w:rsid w:val="53D9000F"/>
    <w:rsid w:val="547B4505"/>
    <w:rsid w:val="548E6390"/>
    <w:rsid w:val="5491518F"/>
    <w:rsid w:val="54C51393"/>
    <w:rsid w:val="54D9333A"/>
    <w:rsid w:val="54ED6EEB"/>
    <w:rsid w:val="55966BD2"/>
    <w:rsid w:val="55AC288F"/>
    <w:rsid w:val="55B02B58"/>
    <w:rsid w:val="55D454CD"/>
    <w:rsid w:val="55FA2432"/>
    <w:rsid w:val="56B23CA6"/>
    <w:rsid w:val="573072C4"/>
    <w:rsid w:val="57315AD3"/>
    <w:rsid w:val="57471187"/>
    <w:rsid w:val="5759015E"/>
    <w:rsid w:val="576F023D"/>
    <w:rsid w:val="577559F1"/>
    <w:rsid w:val="577B6EE4"/>
    <w:rsid w:val="57AC5A21"/>
    <w:rsid w:val="57D2146B"/>
    <w:rsid w:val="57E15CCC"/>
    <w:rsid w:val="57EF1F3E"/>
    <w:rsid w:val="581C0CA5"/>
    <w:rsid w:val="584E2F27"/>
    <w:rsid w:val="5886355F"/>
    <w:rsid w:val="58891F15"/>
    <w:rsid w:val="58A35601"/>
    <w:rsid w:val="58C244A3"/>
    <w:rsid w:val="591C62AA"/>
    <w:rsid w:val="5929358B"/>
    <w:rsid w:val="593C1AF7"/>
    <w:rsid w:val="59AB482A"/>
    <w:rsid w:val="59DD23FD"/>
    <w:rsid w:val="59E24A9F"/>
    <w:rsid w:val="5A737CDB"/>
    <w:rsid w:val="5A8D7BE5"/>
    <w:rsid w:val="5B232E6A"/>
    <w:rsid w:val="5B3B4510"/>
    <w:rsid w:val="5B761405"/>
    <w:rsid w:val="5BB61294"/>
    <w:rsid w:val="5BF8521E"/>
    <w:rsid w:val="5C1B1303"/>
    <w:rsid w:val="5C241BA9"/>
    <w:rsid w:val="5C2453F7"/>
    <w:rsid w:val="5C4D09E5"/>
    <w:rsid w:val="5C574A2F"/>
    <w:rsid w:val="5C674D41"/>
    <w:rsid w:val="5CC66A62"/>
    <w:rsid w:val="5D0852CE"/>
    <w:rsid w:val="5D2928D3"/>
    <w:rsid w:val="5D502207"/>
    <w:rsid w:val="5D5201C0"/>
    <w:rsid w:val="5DBD180F"/>
    <w:rsid w:val="5E0369A2"/>
    <w:rsid w:val="5E1C522E"/>
    <w:rsid w:val="5E3B5015"/>
    <w:rsid w:val="5E9535EF"/>
    <w:rsid w:val="5E987E55"/>
    <w:rsid w:val="5ECD71E6"/>
    <w:rsid w:val="5ECF201B"/>
    <w:rsid w:val="5EDA7CAB"/>
    <w:rsid w:val="5EE501EE"/>
    <w:rsid w:val="5F145048"/>
    <w:rsid w:val="5F4315E3"/>
    <w:rsid w:val="5F6C7565"/>
    <w:rsid w:val="5FFB11ED"/>
    <w:rsid w:val="60192766"/>
    <w:rsid w:val="60380678"/>
    <w:rsid w:val="605D60B2"/>
    <w:rsid w:val="60604FB9"/>
    <w:rsid w:val="609540A8"/>
    <w:rsid w:val="60B33EB4"/>
    <w:rsid w:val="611A335C"/>
    <w:rsid w:val="61216701"/>
    <w:rsid w:val="612B1527"/>
    <w:rsid w:val="61C05DE3"/>
    <w:rsid w:val="62135854"/>
    <w:rsid w:val="626B5F89"/>
    <w:rsid w:val="62723049"/>
    <w:rsid w:val="627B32D8"/>
    <w:rsid w:val="62B90CFD"/>
    <w:rsid w:val="62FF6042"/>
    <w:rsid w:val="63226337"/>
    <w:rsid w:val="632D650D"/>
    <w:rsid w:val="636925BD"/>
    <w:rsid w:val="63863E37"/>
    <w:rsid w:val="63DC4A37"/>
    <w:rsid w:val="63FC42B6"/>
    <w:rsid w:val="643709EB"/>
    <w:rsid w:val="64AE1AAD"/>
    <w:rsid w:val="64C753D2"/>
    <w:rsid w:val="64E82635"/>
    <w:rsid w:val="64F168C1"/>
    <w:rsid w:val="64F459D0"/>
    <w:rsid w:val="64FA2A94"/>
    <w:rsid w:val="65555035"/>
    <w:rsid w:val="6582338C"/>
    <w:rsid w:val="65912CC6"/>
    <w:rsid w:val="65B22786"/>
    <w:rsid w:val="65E531E0"/>
    <w:rsid w:val="65F6754E"/>
    <w:rsid w:val="661735C0"/>
    <w:rsid w:val="664D2E12"/>
    <w:rsid w:val="66692167"/>
    <w:rsid w:val="66872C44"/>
    <w:rsid w:val="668F1FED"/>
    <w:rsid w:val="66A4324F"/>
    <w:rsid w:val="66B63F02"/>
    <w:rsid w:val="66D4191C"/>
    <w:rsid w:val="66DD6DB6"/>
    <w:rsid w:val="66DD76F9"/>
    <w:rsid w:val="67A9432F"/>
    <w:rsid w:val="67EE62F1"/>
    <w:rsid w:val="67FE0ABC"/>
    <w:rsid w:val="68272B8D"/>
    <w:rsid w:val="682B4CB5"/>
    <w:rsid w:val="684A0973"/>
    <w:rsid w:val="68A36922"/>
    <w:rsid w:val="68C1245B"/>
    <w:rsid w:val="68CF44E4"/>
    <w:rsid w:val="68D474B9"/>
    <w:rsid w:val="68F37C3E"/>
    <w:rsid w:val="69520021"/>
    <w:rsid w:val="69774602"/>
    <w:rsid w:val="699A4315"/>
    <w:rsid w:val="699A7243"/>
    <w:rsid w:val="69B50573"/>
    <w:rsid w:val="69F12B0F"/>
    <w:rsid w:val="6A2D2B79"/>
    <w:rsid w:val="6A4533FD"/>
    <w:rsid w:val="6A496835"/>
    <w:rsid w:val="6A750FFC"/>
    <w:rsid w:val="6A8A162F"/>
    <w:rsid w:val="6A8E7740"/>
    <w:rsid w:val="6AD5648B"/>
    <w:rsid w:val="6B122298"/>
    <w:rsid w:val="6B172797"/>
    <w:rsid w:val="6B202B46"/>
    <w:rsid w:val="6B44347E"/>
    <w:rsid w:val="6B7409C3"/>
    <w:rsid w:val="6BD241D0"/>
    <w:rsid w:val="6C026F3C"/>
    <w:rsid w:val="6C19025F"/>
    <w:rsid w:val="6C2C4F32"/>
    <w:rsid w:val="6C396029"/>
    <w:rsid w:val="6C3B64A7"/>
    <w:rsid w:val="6C56382E"/>
    <w:rsid w:val="6CD83A9C"/>
    <w:rsid w:val="6D256766"/>
    <w:rsid w:val="6D725A25"/>
    <w:rsid w:val="6D73551A"/>
    <w:rsid w:val="6D7F405A"/>
    <w:rsid w:val="6DB9174A"/>
    <w:rsid w:val="6DC755D5"/>
    <w:rsid w:val="6E1F0E23"/>
    <w:rsid w:val="6E8A1B32"/>
    <w:rsid w:val="6EAC2C03"/>
    <w:rsid w:val="6EC828DD"/>
    <w:rsid w:val="6F0D03EB"/>
    <w:rsid w:val="6F15331E"/>
    <w:rsid w:val="6F2320A7"/>
    <w:rsid w:val="6FA6229E"/>
    <w:rsid w:val="6FA761AD"/>
    <w:rsid w:val="6FF900E7"/>
    <w:rsid w:val="70147557"/>
    <w:rsid w:val="70294286"/>
    <w:rsid w:val="708C7ADE"/>
    <w:rsid w:val="709340A0"/>
    <w:rsid w:val="70C96F94"/>
    <w:rsid w:val="70CC308E"/>
    <w:rsid w:val="70D05D03"/>
    <w:rsid w:val="71104E85"/>
    <w:rsid w:val="711575EE"/>
    <w:rsid w:val="715349F8"/>
    <w:rsid w:val="71945E92"/>
    <w:rsid w:val="71BF1449"/>
    <w:rsid w:val="721A1FF2"/>
    <w:rsid w:val="72356C20"/>
    <w:rsid w:val="723E4008"/>
    <w:rsid w:val="725D1491"/>
    <w:rsid w:val="72AC1216"/>
    <w:rsid w:val="72B00049"/>
    <w:rsid w:val="72B70F99"/>
    <w:rsid w:val="72D24340"/>
    <w:rsid w:val="72D6392C"/>
    <w:rsid w:val="73003FD8"/>
    <w:rsid w:val="73192710"/>
    <w:rsid w:val="732D44FD"/>
    <w:rsid w:val="73981574"/>
    <w:rsid w:val="73B92936"/>
    <w:rsid w:val="73C60439"/>
    <w:rsid w:val="73DB009D"/>
    <w:rsid w:val="73EE785B"/>
    <w:rsid w:val="73FB49FD"/>
    <w:rsid w:val="742223A1"/>
    <w:rsid w:val="74376D48"/>
    <w:rsid w:val="74446098"/>
    <w:rsid w:val="7445078D"/>
    <w:rsid w:val="746B414F"/>
    <w:rsid w:val="7472539D"/>
    <w:rsid w:val="74857761"/>
    <w:rsid w:val="74DC45A8"/>
    <w:rsid w:val="750227FB"/>
    <w:rsid w:val="75071F73"/>
    <w:rsid w:val="75693A34"/>
    <w:rsid w:val="75B770CD"/>
    <w:rsid w:val="75CD34AB"/>
    <w:rsid w:val="75CF7ADF"/>
    <w:rsid w:val="764B4F25"/>
    <w:rsid w:val="7659272D"/>
    <w:rsid w:val="76686C67"/>
    <w:rsid w:val="76CE603E"/>
    <w:rsid w:val="77162A8D"/>
    <w:rsid w:val="774025C7"/>
    <w:rsid w:val="7747774E"/>
    <w:rsid w:val="77894212"/>
    <w:rsid w:val="7800271B"/>
    <w:rsid w:val="782E08A0"/>
    <w:rsid w:val="78440AB3"/>
    <w:rsid w:val="785B79C8"/>
    <w:rsid w:val="786C62BE"/>
    <w:rsid w:val="787A7054"/>
    <w:rsid w:val="789669DB"/>
    <w:rsid w:val="78CA0ADB"/>
    <w:rsid w:val="78D85865"/>
    <w:rsid w:val="792C66E3"/>
    <w:rsid w:val="795600E6"/>
    <w:rsid w:val="796251E9"/>
    <w:rsid w:val="79FE73E8"/>
    <w:rsid w:val="7A237A12"/>
    <w:rsid w:val="7A6054E2"/>
    <w:rsid w:val="7A8B7D4E"/>
    <w:rsid w:val="7A98230D"/>
    <w:rsid w:val="7B60499C"/>
    <w:rsid w:val="7B6276D7"/>
    <w:rsid w:val="7BCD0EC9"/>
    <w:rsid w:val="7BEC4BA1"/>
    <w:rsid w:val="7C0C430A"/>
    <w:rsid w:val="7C361D53"/>
    <w:rsid w:val="7C515A2B"/>
    <w:rsid w:val="7C823E25"/>
    <w:rsid w:val="7CA6089C"/>
    <w:rsid w:val="7CBF1AA2"/>
    <w:rsid w:val="7CF92CB6"/>
    <w:rsid w:val="7DDF015B"/>
    <w:rsid w:val="7DE316CC"/>
    <w:rsid w:val="7DEE0A06"/>
    <w:rsid w:val="7E745C2A"/>
    <w:rsid w:val="7EA95F25"/>
    <w:rsid w:val="7EBF6D37"/>
    <w:rsid w:val="7ED31DC1"/>
    <w:rsid w:val="7EF47C86"/>
    <w:rsid w:val="7F1C3BEB"/>
    <w:rsid w:val="7F3B5B00"/>
    <w:rsid w:val="7F510FB4"/>
    <w:rsid w:val="7FAA1ED4"/>
    <w:rsid w:val="7FCB0BE9"/>
    <w:rsid w:val="7FE147D1"/>
    <w:rsid w:val="7FE222CD"/>
    <w:rsid w:val="7FEB6C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1"/>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7">
    <w:name w:val="heading 2"/>
    <w:basedOn w:val="1"/>
    <w:next w:val="1"/>
    <w:link w:val="62"/>
    <w:qFormat/>
    <w:uiPriority w:val="99"/>
    <w:pPr>
      <w:keepNext/>
      <w:keepLines/>
      <w:adjustRightInd w:val="0"/>
      <w:spacing w:before="260" w:after="260" w:line="416" w:lineRule="atLeast"/>
      <w:textAlignment w:val="baseline"/>
      <w:outlineLvl w:val="1"/>
    </w:pPr>
    <w:rPr>
      <w:rFonts w:ascii="Arial" w:hAnsi="Arial" w:eastAsia="黑体" w:cs="Arial"/>
      <w:b/>
      <w:bCs/>
      <w:kern w:val="0"/>
      <w:sz w:val="32"/>
      <w:szCs w:val="32"/>
    </w:rPr>
  </w:style>
  <w:style w:type="paragraph" w:styleId="8">
    <w:name w:val="heading 3"/>
    <w:basedOn w:val="1"/>
    <w:next w:val="1"/>
    <w:link w:val="63"/>
    <w:qFormat/>
    <w:uiPriority w:val="99"/>
    <w:pPr>
      <w:keepNext/>
      <w:keepLines/>
      <w:adjustRightInd w:val="0"/>
      <w:spacing w:before="260" w:after="260" w:line="416" w:lineRule="atLeast"/>
      <w:textAlignment w:val="baseline"/>
      <w:outlineLvl w:val="2"/>
    </w:pPr>
    <w:rPr>
      <w:b/>
      <w:bCs/>
      <w:kern w:val="0"/>
      <w:sz w:val="32"/>
      <w:szCs w:val="32"/>
    </w:rPr>
  </w:style>
  <w:style w:type="paragraph" w:styleId="9">
    <w:name w:val="heading 4"/>
    <w:basedOn w:val="1"/>
    <w:next w:val="1"/>
    <w:link w:val="64"/>
    <w:qFormat/>
    <w:uiPriority w:val="99"/>
    <w:pPr>
      <w:keepNext/>
      <w:keepLines/>
      <w:adjustRightInd w:val="0"/>
      <w:spacing w:before="280" w:after="290" w:line="376" w:lineRule="atLeast"/>
      <w:textAlignment w:val="baseline"/>
      <w:outlineLvl w:val="3"/>
    </w:pPr>
    <w:rPr>
      <w:rFonts w:ascii="Arial" w:hAnsi="Arial" w:eastAsia="黑体" w:cs="Arial"/>
      <w:b/>
      <w:bCs/>
      <w:sz w:val="28"/>
      <w:szCs w:val="28"/>
    </w:rPr>
  </w:style>
  <w:style w:type="paragraph" w:styleId="10">
    <w:name w:val="heading 5"/>
    <w:basedOn w:val="1"/>
    <w:next w:val="1"/>
    <w:link w:val="65"/>
    <w:qFormat/>
    <w:uiPriority w:val="99"/>
    <w:pPr>
      <w:keepNext/>
      <w:keepLines/>
      <w:adjustRightInd w:val="0"/>
      <w:spacing w:before="280" w:after="290" w:line="376" w:lineRule="atLeast"/>
      <w:textAlignment w:val="baseline"/>
      <w:outlineLvl w:val="4"/>
    </w:pPr>
    <w:rPr>
      <w:b/>
      <w:bCs/>
      <w:kern w:val="0"/>
      <w:sz w:val="28"/>
      <w:szCs w:val="28"/>
    </w:rPr>
  </w:style>
  <w:style w:type="paragraph" w:styleId="11">
    <w:name w:val="heading 6"/>
    <w:basedOn w:val="1"/>
    <w:next w:val="1"/>
    <w:link w:val="66"/>
    <w:qFormat/>
    <w:uiPriority w:val="99"/>
    <w:pPr>
      <w:keepNext/>
      <w:keepLines/>
      <w:adjustRightInd w:val="0"/>
      <w:spacing w:before="240" w:after="64" w:line="320" w:lineRule="atLeast"/>
      <w:textAlignment w:val="baseline"/>
      <w:outlineLvl w:val="5"/>
    </w:pPr>
    <w:rPr>
      <w:rFonts w:ascii="Cambria" w:hAnsi="Cambria" w:cs="Cambria"/>
      <w:b/>
      <w:bCs/>
      <w:kern w:val="0"/>
      <w:sz w:val="24"/>
      <w:szCs w:val="24"/>
    </w:rPr>
  </w:style>
  <w:style w:type="paragraph" w:styleId="12">
    <w:name w:val="heading 7"/>
    <w:basedOn w:val="1"/>
    <w:next w:val="1"/>
    <w:link w:val="67"/>
    <w:qFormat/>
    <w:uiPriority w:val="99"/>
    <w:pPr>
      <w:keepNext/>
      <w:keepLines/>
      <w:adjustRightInd w:val="0"/>
      <w:spacing w:before="240" w:after="64" w:line="320" w:lineRule="atLeast"/>
      <w:textAlignment w:val="baseline"/>
      <w:outlineLvl w:val="6"/>
    </w:pPr>
    <w:rPr>
      <w:b/>
      <w:bCs/>
      <w:kern w:val="0"/>
      <w:sz w:val="24"/>
      <w:szCs w:val="24"/>
    </w:rPr>
  </w:style>
  <w:style w:type="paragraph" w:styleId="13">
    <w:name w:val="heading 8"/>
    <w:basedOn w:val="1"/>
    <w:next w:val="1"/>
    <w:link w:val="68"/>
    <w:qFormat/>
    <w:uiPriority w:val="99"/>
    <w:pPr>
      <w:keepNext/>
      <w:keepLines/>
      <w:adjustRightInd w:val="0"/>
      <w:spacing w:before="240" w:after="64" w:line="320" w:lineRule="atLeast"/>
      <w:textAlignment w:val="baseline"/>
      <w:outlineLvl w:val="7"/>
    </w:pPr>
    <w:rPr>
      <w:rFonts w:ascii="Cambria" w:hAnsi="Cambria" w:cs="Cambria"/>
      <w:kern w:val="0"/>
      <w:sz w:val="24"/>
      <w:szCs w:val="24"/>
    </w:rPr>
  </w:style>
  <w:style w:type="paragraph" w:styleId="14">
    <w:name w:val="heading 9"/>
    <w:basedOn w:val="1"/>
    <w:next w:val="1"/>
    <w:link w:val="69"/>
    <w:qFormat/>
    <w:uiPriority w:val="99"/>
    <w:pPr>
      <w:keepNext/>
      <w:keepLines/>
      <w:adjustRightInd w:val="0"/>
      <w:spacing w:before="240" w:after="64" w:line="320" w:lineRule="atLeast"/>
      <w:textAlignment w:val="baseline"/>
      <w:outlineLvl w:val="8"/>
    </w:pPr>
    <w:rPr>
      <w:rFonts w:ascii="Cambria" w:hAnsi="Cambria" w:cs="Cambria"/>
      <w:kern w:val="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71"/>
    <w:qFormat/>
    <w:locked/>
    <w:uiPriority w:val="99"/>
    <w:pPr>
      <w:ind w:firstLine="420" w:firstLineChars="200"/>
    </w:pPr>
    <w:rPr>
      <w:sz w:val="21"/>
      <w:szCs w:val="21"/>
    </w:rPr>
  </w:style>
  <w:style w:type="paragraph" w:styleId="3">
    <w:name w:val="Body Text Indent"/>
    <w:basedOn w:val="1"/>
    <w:next w:val="4"/>
    <w:link w:val="70"/>
    <w:qFormat/>
    <w:uiPriority w:val="99"/>
    <w:pPr>
      <w:spacing w:after="156"/>
      <w:ind w:firstLine="480"/>
    </w:pPr>
    <w:rPr>
      <w:sz w:val="24"/>
      <w:szCs w:val="24"/>
    </w:rPr>
  </w:style>
  <w:style w:type="paragraph" w:styleId="4">
    <w:name w:val="envelope return"/>
    <w:basedOn w:val="1"/>
    <w:qFormat/>
    <w:locked/>
    <w:uiPriority w:val="99"/>
    <w:pPr>
      <w:snapToGrid w:val="0"/>
    </w:pPr>
    <w:rPr>
      <w:rFonts w:ascii="Arial" w:hAnsi="Arial" w:cs="Arial"/>
    </w:rPr>
  </w:style>
  <w:style w:type="paragraph" w:styleId="5">
    <w:name w:val="Body Text Indent 3"/>
    <w:basedOn w:val="1"/>
    <w:link w:val="82"/>
    <w:qFormat/>
    <w:uiPriority w:val="99"/>
    <w:pPr>
      <w:spacing w:after="120"/>
      <w:ind w:left="420" w:leftChars="200"/>
    </w:pPr>
    <w:rPr>
      <w:kern w:val="0"/>
      <w:sz w:val="16"/>
      <w:szCs w:val="16"/>
    </w:rPr>
  </w:style>
  <w:style w:type="paragraph" w:styleId="15">
    <w:name w:val="List 3"/>
    <w:basedOn w:val="1"/>
    <w:qFormat/>
    <w:uiPriority w:val="99"/>
    <w:pPr>
      <w:ind w:left="100" w:leftChars="400" w:hanging="200" w:hangingChars="200"/>
    </w:pPr>
  </w:style>
  <w:style w:type="paragraph" w:styleId="16">
    <w:name w:val="toc 7"/>
    <w:basedOn w:val="1"/>
    <w:next w:val="1"/>
    <w:semiHidden/>
    <w:qFormat/>
    <w:uiPriority w:val="99"/>
    <w:pPr>
      <w:ind w:left="1260"/>
      <w:jc w:val="left"/>
    </w:pPr>
    <w:rPr>
      <w:sz w:val="18"/>
      <w:szCs w:val="18"/>
    </w:rPr>
  </w:style>
  <w:style w:type="paragraph" w:styleId="17">
    <w:name w:val="Normal Indent"/>
    <w:basedOn w:val="1"/>
    <w:link w:val="96"/>
    <w:qFormat/>
    <w:uiPriority w:val="99"/>
    <w:pPr>
      <w:ind w:firstLine="420"/>
    </w:pPr>
  </w:style>
  <w:style w:type="paragraph" w:styleId="18">
    <w:name w:val="Document Map"/>
    <w:basedOn w:val="1"/>
    <w:link w:val="72"/>
    <w:semiHidden/>
    <w:qFormat/>
    <w:uiPriority w:val="99"/>
    <w:pPr>
      <w:shd w:val="clear" w:color="auto" w:fill="000080"/>
    </w:pPr>
    <w:rPr>
      <w:kern w:val="0"/>
      <w:sz w:val="2"/>
      <w:szCs w:val="2"/>
    </w:rPr>
  </w:style>
  <w:style w:type="paragraph" w:styleId="19">
    <w:name w:val="annotation text"/>
    <w:basedOn w:val="1"/>
    <w:link w:val="73"/>
    <w:semiHidden/>
    <w:qFormat/>
    <w:uiPriority w:val="99"/>
    <w:pPr>
      <w:jc w:val="left"/>
    </w:pPr>
  </w:style>
  <w:style w:type="paragraph" w:styleId="20">
    <w:name w:val="Body Text"/>
    <w:basedOn w:val="1"/>
    <w:next w:val="1"/>
    <w:link w:val="74"/>
    <w:qFormat/>
    <w:uiPriority w:val="99"/>
    <w:rPr>
      <w:kern w:val="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spacing w:after="120"/>
      <w:ind w:left="420" w:leftChars="200"/>
    </w:pPr>
  </w:style>
  <w:style w:type="paragraph" w:styleId="23">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4">
    <w:name w:val="toc 5"/>
    <w:basedOn w:val="1"/>
    <w:next w:val="1"/>
    <w:semiHidden/>
    <w:qFormat/>
    <w:uiPriority w:val="99"/>
    <w:pPr>
      <w:ind w:left="840"/>
      <w:jc w:val="left"/>
    </w:pPr>
    <w:rPr>
      <w:sz w:val="18"/>
      <w:szCs w:val="18"/>
    </w:rPr>
  </w:style>
  <w:style w:type="paragraph" w:styleId="25">
    <w:name w:val="toc 3"/>
    <w:basedOn w:val="1"/>
    <w:next w:val="1"/>
    <w:semiHidden/>
    <w:qFormat/>
    <w:uiPriority w:val="99"/>
    <w:pPr>
      <w:ind w:left="420"/>
      <w:jc w:val="left"/>
    </w:pPr>
    <w:rPr>
      <w:i/>
      <w:iCs/>
      <w:sz w:val="20"/>
      <w:szCs w:val="20"/>
    </w:rPr>
  </w:style>
  <w:style w:type="paragraph" w:styleId="26">
    <w:name w:val="Plain Text"/>
    <w:basedOn w:val="1"/>
    <w:link w:val="75"/>
    <w:qFormat/>
    <w:uiPriority w:val="99"/>
    <w:rPr>
      <w:rFonts w:ascii="宋体" w:hAnsi="Courier New" w:cs="宋体"/>
      <w:kern w:val="0"/>
    </w:rPr>
  </w:style>
  <w:style w:type="paragraph" w:styleId="27">
    <w:name w:val="toc 8"/>
    <w:basedOn w:val="1"/>
    <w:next w:val="1"/>
    <w:semiHidden/>
    <w:qFormat/>
    <w:uiPriority w:val="99"/>
    <w:pPr>
      <w:ind w:left="1470"/>
      <w:jc w:val="left"/>
    </w:pPr>
    <w:rPr>
      <w:sz w:val="18"/>
      <w:szCs w:val="18"/>
    </w:rPr>
  </w:style>
  <w:style w:type="paragraph" w:styleId="28">
    <w:name w:val="Date"/>
    <w:basedOn w:val="1"/>
    <w:next w:val="1"/>
    <w:link w:val="76"/>
    <w:qFormat/>
    <w:uiPriority w:val="99"/>
    <w:pPr>
      <w:widowControl/>
      <w:ind w:left="100"/>
      <w:jc w:val="left"/>
    </w:pPr>
    <w:rPr>
      <w:kern w:val="0"/>
    </w:rPr>
  </w:style>
  <w:style w:type="paragraph" w:styleId="29">
    <w:name w:val="Body Text Indent 2"/>
    <w:basedOn w:val="1"/>
    <w:link w:val="77"/>
    <w:qFormat/>
    <w:uiPriority w:val="99"/>
    <w:pPr>
      <w:ind w:left="1436" w:leftChars="684"/>
    </w:pPr>
    <w:rPr>
      <w:kern w:val="0"/>
    </w:rPr>
  </w:style>
  <w:style w:type="paragraph" w:styleId="30">
    <w:name w:val="List Continue 5"/>
    <w:basedOn w:val="1"/>
    <w:qFormat/>
    <w:uiPriority w:val="99"/>
    <w:pPr>
      <w:spacing w:after="120"/>
      <w:ind w:left="2100" w:leftChars="1000"/>
    </w:pPr>
  </w:style>
  <w:style w:type="paragraph" w:styleId="31">
    <w:name w:val="Balloon Text"/>
    <w:basedOn w:val="1"/>
    <w:link w:val="78"/>
    <w:semiHidden/>
    <w:qFormat/>
    <w:uiPriority w:val="99"/>
    <w:rPr>
      <w:sz w:val="18"/>
      <w:szCs w:val="18"/>
    </w:rPr>
  </w:style>
  <w:style w:type="paragraph" w:styleId="32">
    <w:name w:val="footer"/>
    <w:basedOn w:val="1"/>
    <w:link w:val="79"/>
    <w:qFormat/>
    <w:uiPriority w:val="99"/>
    <w:pPr>
      <w:tabs>
        <w:tab w:val="center" w:pos="4153"/>
        <w:tab w:val="right" w:pos="8306"/>
      </w:tabs>
      <w:snapToGrid w:val="0"/>
      <w:jc w:val="left"/>
    </w:pPr>
    <w:rPr>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5">
    <w:name w:val="List Continue 4"/>
    <w:basedOn w:val="1"/>
    <w:qFormat/>
    <w:uiPriority w:val="99"/>
    <w:pPr>
      <w:spacing w:after="120"/>
      <w:ind w:left="1680" w:leftChars="800"/>
    </w:pPr>
  </w:style>
  <w:style w:type="paragraph" w:styleId="36">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7">
    <w:name w:val="List"/>
    <w:basedOn w:val="1"/>
    <w:qFormat/>
    <w:uiPriority w:val="99"/>
    <w:pPr>
      <w:ind w:left="200" w:hanging="200" w:hangingChars="200"/>
    </w:pPr>
  </w:style>
  <w:style w:type="paragraph" w:styleId="38">
    <w:name w:val="footnote text"/>
    <w:basedOn w:val="1"/>
    <w:link w:val="81"/>
    <w:semiHidden/>
    <w:qFormat/>
    <w:uiPriority w:val="99"/>
    <w:pPr>
      <w:snapToGrid w:val="0"/>
      <w:jc w:val="left"/>
    </w:pPr>
    <w:rPr>
      <w:kern w:val="0"/>
      <w:sz w:val="18"/>
      <w:szCs w:val="18"/>
    </w:rPr>
  </w:style>
  <w:style w:type="paragraph" w:styleId="39">
    <w:name w:val="toc 6"/>
    <w:basedOn w:val="1"/>
    <w:next w:val="1"/>
    <w:semiHidden/>
    <w:qFormat/>
    <w:uiPriority w:val="99"/>
    <w:pPr>
      <w:ind w:left="1050"/>
      <w:jc w:val="left"/>
    </w:pPr>
    <w:rPr>
      <w:sz w:val="18"/>
      <w:szCs w:val="18"/>
    </w:rPr>
  </w:style>
  <w:style w:type="paragraph" w:styleId="40">
    <w:name w:val="List 5"/>
    <w:basedOn w:val="1"/>
    <w:qFormat/>
    <w:uiPriority w:val="99"/>
    <w:pPr>
      <w:ind w:left="100" w:leftChars="800" w:hanging="200" w:hangingChars="200"/>
    </w:pPr>
  </w:style>
  <w:style w:type="paragraph" w:styleId="41">
    <w:name w:val="toc 2"/>
    <w:basedOn w:val="1"/>
    <w:next w:val="1"/>
    <w:semiHidden/>
    <w:qFormat/>
    <w:uiPriority w:val="99"/>
    <w:pPr>
      <w:ind w:left="210"/>
      <w:jc w:val="left"/>
    </w:pPr>
    <w:rPr>
      <w:smallCaps/>
      <w:sz w:val="20"/>
      <w:szCs w:val="20"/>
    </w:rPr>
  </w:style>
  <w:style w:type="paragraph" w:styleId="42">
    <w:name w:val="toc 9"/>
    <w:basedOn w:val="1"/>
    <w:next w:val="1"/>
    <w:semiHidden/>
    <w:qFormat/>
    <w:uiPriority w:val="99"/>
    <w:pPr>
      <w:ind w:left="1680"/>
      <w:jc w:val="left"/>
    </w:pPr>
    <w:rPr>
      <w:sz w:val="18"/>
      <w:szCs w:val="18"/>
    </w:rPr>
  </w:style>
  <w:style w:type="paragraph" w:styleId="43">
    <w:name w:val="Body Text 2"/>
    <w:basedOn w:val="1"/>
    <w:link w:val="83"/>
    <w:qFormat/>
    <w:uiPriority w:val="99"/>
    <w:rPr>
      <w:kern w:val="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spacing w:after="120"/>
      <w:ind w:left="840" w:leftChars="400"/>
    </w:pPr>
  </w:style>
  <w:style w:type="paragraph" w:styleId="46">
    <w:name w:val="HTML Preformatted"/>
    <w:basedOn w:val="1"/>
    <w:link w:val="84"/>
    <w:qFormat/>
    <w:uiPriority w:val="99"/>
    <w:rPr>
      <w:rFonts w:ascii="Courier New" w:hAnsi="Courier New" w:cs="Courier New"/>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List Continue 3"/>
    <w:basedOn w:val="1"/>
    <w:qFormat/>
    <w:uiPriority w:val="99"/>
    <w:pPr>
      <w:spacing w:after="120"/>
      <w:ind w:left="1260" w:leftChars="600"/>
    </w:pPr>
  </w:style>
  <w:style w:type="paragraph" w:styleId="49">
    <w:name w:val="annotation subject"/>
    <w:basedOn w:val="19"/>
    <w:next w:val="19"/>
    <w:link w:val="85"/>
    <w:semiHidden/>
    <w:qFormat/>
    <w:uiPriority w:val="99"/>
    <w:rPr>
      <w:b/>
      <w:bCs/>
    </w:rPr>
  </w:style>
  <w:style w:type="paragraph" w:styleId="50">
    <w:name w:val="Body Text First Indent"/>
    <w:basedOn w:val="20"/>
    <w:link w:val="86"/>
    <w:qFormat/>
    <w:uiPriority w:val="99"/>
    <w:pPr>
      <w:spacing w:line="360" w:lineRule="auto"/>
      <w:ind w:firstLine="482"/>
    </w:p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locked/>
    <w:uiPriority w:val="22"/>
    <w:rPr>
      <w:b/>
      <w:bCs/>
    </w:rPr>
  </w:style>
  <w:style w:type="character" w:styleId="55">
    <w:name w:val="page number"/>
    <w:basedOn w:val="53"/>
    <w:qFormat/>
    <w:uiPriority w:val="99"/>
  </w:style>
  <w:style w:type="character" w:styleId="56">
    <w:name w:val="FollowedHyperlink"/>
    <w:qFormat/>
    <w:locked/>
    <w:uiPriority w:val="99"/>
    <w:rPr>
      <w:color w:val="333333"/>
      <w:u w:val="none"/>
    </w:rPr>
  </w:style>
  <w:style w:type="character" w:styleId="57">
    <w:name w:val="Hyperlink"/>
    <w:qFormat/>
    <w:uiPriority w:val="99"/>
    <w:rPr>
      <w:color w:val="333333"/>
      <w:u w:val="none"/>
    </w:rPr>
  </w:style>
  <w:style w:type="character" w:styleId="58">
    <w:name w:val="annotation reference"/>
    <w:semiHidden/>
    <w:qFormat/>
    <w:uiPriority w:val="99"/>
    <w:rPr>
      <w:sz w:val="21"/>
      <w:szCs w:val="21"/>
    </w:rPr>
  </w:style>
  <w:style w:type="character" w:styleId="59">
    <w:name w:val="footnote reference"/>
    <w:semiHidden/>
    <w:qFormat/>
    <w:uiPriority w:val="99"/>
    <w:rPr>
      <w:vertAlign w:val="superscript"/>
    </w:rPr>
  </w:style>
  <w:style w:type="paragraph" w:customStyle="1" w:styleId="60">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61">
    <w:name w:val="标题 1 Char"/>
    <w:link w:val="6"/>
    <w:qFormat/>
    <w:locked/>
    <w:uiPriority w:val="99"/>
    <w:rPr>
      <w:b/>
      <w:bCs/>
      <w:kern w:val="44"/>
      <w:sz w:val="44"/>
      <w:szCs w:val="44"/>
    </w:rPr>
  </w:style>
  <w:style w:type="character" w:customStyle="1" w:styleId="62">
    <w:name w:val="标题 2 Char"/>
    <w:link w:val="7"/>
    <w:qFormat/>
    <w:locked/>
    <w:uiPriority w:val="99"/>
    <w:rPr>
      <w:rFonts w:ascii="Arial" w:hAnsi="Arial" w:eastAsia="黑体" w:cs="Arial"/>
      <w:b/>
      <w:bCs/>
      <w:sz w:val="32"/>
      <w:szCs w:val="32"/>
    </w:rPr>
  </w:style>
  <w:style w:type="character" w:customStyle="1" w:styleId="63">
    <w:name w:val="标题 3 Char"/>
    <w:link w:val="8"/>
    <w:semiHidden/>
    <w:qFormat/>
    <w:locked/>
    <w:uiPriority w:val="99"/>
    <w:rPr>
      <w:rFonts w:ascii="Times New Roman" w:hAnsi="Times New Roman" w:cs="Times New Roman"/>
      <w:b/>
      <w:bCs/>
      <w:sz w:val="32"/>
      <w:szCs w:val="32"/>
    </w:rPr>
  </w:style>
  <w:style w:type="character" w:customStyle="1" w:styleId="64">
    <w:name w:val="标题 4 Char"/>
    <w:link w:val="9"/>
    <w:qFormat/>
    <w:locked/>
    <w:uiPriority w:val="99"/>
    <w:rPr>
      <w:rFonts w:ascii="Arial" w:hAnsi="Arial" w:eastAsia="黑体" w:cs="Arial"/>
      <w:b/>
      <w:bCs/>
      <w:kern w:val="2"/>
      <w:sz w:val="28"/>
      <w:szCs w:val="28"/>
      <w:lang w:val="en-US" w:eastAsia="zh-CN"/>
    </w:rPr>
  </w:style>
  <w:style w:type="character" w:customStyle="1" w:styleId="65">
    <w:name w:val="标题 5 Char"/>
    <w:link w:val="10"/>
    <w:semiHidden/>
    <w:qFormat/>
    <w:locked/>
    <w:uiPriority w:val="99"/>
    <w:rPr>
      <w:rFonts w:ascii="Times New Roman" w:hAnsi="Times New Roman" w:cs="Times New Roman"/>
      <w:b/>
      <w:bCs/>
      <w:sz w:val="28"/>
      <w:szCs w:val="28"/>
    </w:rPr>
  </w:style>
  <w:style w:type="character" w:customStyle="1" w:styleId="66">
    <w:name w:val="标题 6 Char"/>
    <w:link w:val="11"/>
    <w:semiHidden/>
    <w:qFormat/>
    <w:locked/>
    <w:uiPriority w:val="99"/>
    <w:rPr>
      <w:rFonts w:ascii="Cambria" w:hAnsi="Cambria" w:eastAsia="宋体" w:cs="Cambria"/>
      <w:b/>
      <w:bCs/>
      <w:sz w:val="24"/>
      <w:szCs w:val="24"/>
    </w:rPr>
  </w:style>
  <w:style w:type="character" w:customStyle="1" w:styleId="67">
    <w:name w:val="标题 7 Char"/>
    <w:link w:val="12"/>
    <w:semiHidden/>
    <w:qFormat/>
    <w:locked/>
    <w:uiPriority w:val="99"/>
    <w:rPr>
      <w:rFonts w:ascii="Times New Roman" w:hAnsi="Times New Roman" w:cs="Times New Roman"/>
      <w:b/>
      <w:bCs/>
      <w:sz w:val="24"/>
      <w:szCs w:val="24"/>
    </w:rPr>
  </w:style>
  <w:style w:type="character" w:customStyle="1" w:styleId="68">
    <w:name w:val="标题 8 Char"/>
    <w:link w:val="13"/>
    <w:semiHidden/>
    <w:qFormat/>
    <w:locked/>
    <w:uiPriority w:val="99"/>
    <w:rPr>
      <w:rFonts w:ascii="Cambria" w:hAnsi="Cambria" w:eastAsia="宋体" w:cs="Cambria"/>
      <w:sz w:val="24"/>
      <w:szCs w:val="24"/>
    </w:rPr>
  </w:style>
  <w:style w:type="character" w:customStyle="1" w:styleId="69">
    <w:name w:val="标题 9 Char"/>
    <w:link w:val="14"/>
    <w:semiHidden/>
    <w:qFormat/>
    <w:locked/>
    <w:uiPriority w:val="99"/>
    <w:rPr>
      <w:rFonts w:ascii="Cambria" w:hAnsi="Cambria" w:eastAsia="宋体" w:cs="Cambria"/>
      <w:sz w:val="21"/>
      <w:szCs w:val="21"/>
    </w:rPr>
  </w:style>
  <w:style w:type="character" w:customStyle="1" w:styleId="70">
    <w:name w:val="正文文本缩进 Char"/>
    <w:link w:val="3"/>
    <w:qFormat/>
    <w:locked/>
    <w:uiPriority w:val="99"/>
    <w:rPr>
      <w:kern w:val="2"/>
      <w:sz w:val="24"/>
      <w:szCs w:val="24"/>
    </w:rPr>
  </w:style>
  <w:style w:type="character" w:customStyle="1" w:styleId="71">
    <w:name w:val="正文首行缩进 2 Char"/>
    <w:link w:val="2"/>
    <w:qFormat/>
    <w:locked/>
    <w:uiPriority w:val="99"/>
    <w:rPr>
      <w:rFonts w:ascii="Times New Roman" w:hAnsi="Times New Roman" w:cs="Times New Roman"/>
      <w:kern w:val="2"/>
      <w:sz w:val="21"/>
      <w:szCs w:val="21"/>
    </w:rPr>
  </w:style>
  <w:style w:type="character" w:customStyle="1" w:styleId="72">
    <w:name w:val="文档结构图 Char"/>
    <w:link w:val="18"/>
    <w:semiHidden/>
    <w:qFormat/>
    <w:locked/>
    <w:uiPriority w:val="99"/>
    <w:rPr>
      <w:rFonts w:ascii="Times New Roman" w:hAnsi="Times New Roman" w:cs="Times New Roman"/>
      <w:sz w:val="2"/>
      <w:szCs w:val="2"/>
    </w:rPr>
  </w:style>
  <w:style w:type="character" w:customStyle="1" w:styleId="73">
    <w:name w:val="批注文字 Char"/>
    <w:link w:val="19"/>
    <w:qFormat/>
    <w:locked/>
    <w:uiPriority w:val="99"/>
    <w:rPr>
      <w:kern w:val="2"/>
      <w:sz w:val="21"/>
      <w:szCs w:val="21"/>
    </w:rPr>
  </w:style>
  <w:style w:type="character" w:customStyle="1" w:styleId="74">
    <w:name w:val="正文文本 Char"/>
    <w:link w:val="20"/>
    <w:qFormat/>
    <w:locked/>
    <w:uiPriority w:val="99"/>
    <w:rPr>
      <w:rFonts w:ascii="Times New Roman" w:hAnsi="Times New Roman" w:cs="Times New Roman"/>
      <w:sz w:val="21"/>
      <w:szCs w:val="21"/>
    </w:rPr>
  </w:style>
  <w:style w:type="character" w:customStyle="1" w:styleId="75">
    <w:name w:val="纯文本 Char"/>
    <w:link w:val="26"/>
    <w:semiHidden/>
    <w:qFormat/>
    <w:locked/>
    <w:uiPriority w:val="99"/>
    <w:rPr>
      <w:rFonts w:ascii="宋体" w:hAnsi="Courier New" w:cs="宋体"/>
      <w:sz w:val="21"/>
      <w:szCs w:val="21"/>
    </w:rPr>
  </w:style>
  <w:style w:type="character" w:customStyle="1" w:styleId="76">
    <w:name w:val="日期 Char"/>
    <w:link w:val="28"/>
    <w:semiHidden/>
    <w:qFormat/>
    <w:locked/>
    <w:uiPriority w:val="99"/>
    <w:rPr>
      <w:rFonts w:ascii="Times New Roman" w:hAnsi="Times New Roman" w:cs="Times New Roman"/>
      <w:sz w:val="21"/>
      <w:szCs w:val="21"/>
    </w:rPr>
  </w:style>
  <w:style w:type="character" w:customStyle="1" w:styleId="77">
    <w:name w:val="正文文本缩进 2 Char"/>
    <w:link w:val="29"/>
    <w:semiHidden/>
    <w:qFormat/>
    <w:locked/>
    <w:uiPriority w:val="99"/>
    <w:rPr>
      <w:rFonts w:ascii="Times New Roman" w:hAnsi="Times New Roman" w:cs="Times New Roman"/>
      <w:sz w:val="21"/>
      <w:szCs w:val="21"/>
    </w:rPr>
  </w:style>
  <w:style w:type="character" w:customStyle="1" w:styleId="78">
    <w:name w:val="批注框文本 Char"/>
    <w:link w:val="31"/>
    <w:qFormat/>
    <w:locked/>
    <w:uiPriority w:val="99"/>
    <w:rPr>
      <w:rFonts w:eastAsia="宋体"/>
      <w:kern w:val="2"/>
      <w:sz w:val="18"/>
      <w:szCs w:val="18"/>
      <w:lang w:val="en-US" w:eastAsia="zh-CN"/>
    </w:rPr>
  </w:style>
  <w:style w:type="character" w:customStyle="1" w:styleId="79">
    <w:name w:val="页脚 Char"/>
    <w:link w:val="32"/>
    <w:qFormat/>
    <w:locked/>
    <w:uiPriority w:val="99"/>
    <w:rPr>
      <w:kern w:val="2"/>
      <w:sz w:val="18"/>
      <w:szCs w:val="18"/>
    </w:rPr>
  </w:style>
  <w:style w:type="character" w:customStyle="1" w:styleId="80">
    <w:name w:val="页眉 Char"/>
    <w:link w:val="33"/>
    <w:semiHidden/>
    <w:qFormat/>
    <w:locked/>
    <w:uiPriority w:val="99"/>
    <w:rPr>
      <w:rFonts w:ascii="Times New Roman" w:hAnsi="Times New Roman" w:cs="Times New Roman"/>
      <w:sz w:val="18"/>
      <w:szCs w:val="18"/>
    </w:rPr>
  </w:style>
  <w:style w:type="character" w:customStyle="1" w:styleId="81">
    <w:name w:val="脚注文本 Char"/>
    <w:link w:val="38"/>
    <w:semiHidden/>
    <w:qFormat/>
    <w:locked/>
    <w:uiPriority w:val="99"/>
    <w:rPr>
      <w:rFonts w:ascii="Times New Roman" w:hAnsi="Times New Roman" w:cs="Times New Roman"/>
      <w:sz w:val="18"/>
      <w:szCs w:val="18"/>
    </w:rPr>
  </w:style>
  <w:style w:type="character" w:customStyle="1" w:styleId="82">
    <w:name w:val="正文文本缩进 3 Char"/>
    <w:link w:val="5"/>
    <w:semiHidden/>
    <w:qFormat/>
    <w:locked/>
    <w:uiPriority w:val="99"/>
    <w:rPr>
      <w:rFonts w:ascii="Times New Roman" w:hAnsi="Times New Roman" w:cs="Times New Roman"/>
      <w:sz w:val="16"/>
      <w:szCs w:val="16"/>
    </w:rPr>
  </w:style>
  <w:style w:type="character" w:customStyle="1" w:styleId="83">
    <w:name w:val="正文文本 2 Char"/>
    <w:link w:val="43"/>
    <w:semiHidden/>
    <w:qFormat/>
    <w:locked/>
    <w:uiPriority w:val="99"/>
    <w:rPr>
      <w:rFonts w:ascii="Times New Roman" w:hAnsi="Times New Roman" w:cs="Times New Roman"/>
      <w:sz w:val="21"/>
      <w:szCs w:val="21"/>
    </w:rPr>
  </w:style>
  <w:style w:type="character" w:customStyle="1" w:styleId="84">
    <w:name w:val="HTML 预设格式 Char"/>
    <w:link w:val="46"/>
    <w:qFormat/>
    <w:locked/>
    <w:uiPriority w:val="99"/>
    <w:rPr>
      <w:rFonts w:ascii="Courier New" w:hAnsi="Courier New" w:cs="Courier New"/>
      <w:kern w:val="2"/>
    </w:rPr>
  </w:style>
  <w:style w:type="character" w:customStyle="1" w:styleId="85">
    <w:name w:val="批注主题 Char"/>
    <w:link w:val="49"/>
    <w:semiHidden/>
    <w:qFormat/>
    <w:locked/>
    <w:uiPriority w:val="99"/>
    <w:rPr>
      <w:rFonts w:ascii="Times New Roman" w:hAnsi="Times New Roman" w:cs="Times New Roman"/>
      <w:b/>
      <w:bCs/>
      <w:kern w:val="2"/>
      <w:sz w:val="21"/>
      <w:szCs w:val="21"/>
    </w:rPr>
  </w:style>
  <w:style w:type="character" w:customStyle="1" w:styleId="86">
    <w:name w:val="正文首行缩进 Char"/>
    <w:link w:val="50"/>
    <w:semiHidden/>
    <w:qFormat/>
    <w:locked/>
    <w:uiPriority w:val="99"/>
    <w:rPr>
      <w:rFonts w:ascii="Times New Roman" w:hAnsi="Times New Roman" w:cs="Times New Roman"/>
      <w:sz w:val="21"/>
      <w:szCs w:val="21"/>
    </w:rPr>
  </w:style>
  <w:style w:type="character" w:customStyle="1" w:styleId="87">
    <w:name w:val="style1"/>
    <w:qFormat/>
    <w:uiPriority w:val="99"/>
  </w:style>
  <w:style w:type="character" w:customStyle="1" w:styleId="88">
    <w:name w:val="纯文本 Char_0_0"/>
    <w:link w:val="89"/>
    <w:qFormat/>
    <w:locked/>
    <w:uiPriority w:val="99"/>
    <w:rPr>
      <w:rFonts w:ascii="宋体" w:hAnsi="Courier New" w:cs="宋体"/>
      <w:kern w:val="2"/>
      <w:sz w:val="21"/>
      <w:szCs w:val="21"/>
    </w:rPr>
  </w:style>
  <w:style w:type="paragraph" w:customStyle="1" w:styleId="89">
    <w:name w:val="纯文本_0_0"/>
    <w:basedOn w:val="90"/>
    <w:link w:val="88"/>
    <w:qFormat/>
    <w:uiPriority w:val="99"/>
    <w:rPr>
      <w:rFonts w:ascii="宋体" w:hAnsi="Courier New" w:cs="宋体"/>
    </w:rPr>
  </w:style>
  <w:style w:type="paragraph" w:customStyle="1" w:styleId="90">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91">
    <w:name w:val="标题 1 Char Char"/>
    <w:qFormat/>
    <w:uiPriority w:val="99"/>
    <w:rPr>
      <w:rFonts w:ascii="宋体" w:hAnsi="宋体" w:eastAsia="宋体" w:cs="宋体"/>
      <w:b/>
      <w:bCs/>
      <w:spacing w:val="-2"/>
      <w:sz w:val="24"/>
      <w:szCs w:val="24"/>
      <w:lang w:val="en-US" w:eastAsia="zh-CN"/>
    </w:rPr>
  </w:style>
  <w:style w:type="character" w:customStyle="1" w:styleId="92">
    <w:name w:val="font51"/>
    <w:qFormat/>
    <w:uiPriority w:val="99"/>
    <w:rPr>
      <w:rFonts w:ascii="宋体" w:hAnsi="宋体" w:eastAsia="宋体" w:cs="宋体"/>
      <w:color w:val="000000"/>
      <w:sz w:val="24"/>
      <w:szCs w:val="24"/>
      <w:u w:val="none"/>
    </w:rPr>
  </w:style>
  <w:style w:type="character" w:customStyle="1" w:styleId="93">
    <w:name w:val="Style Heading 3 + Char"/>
    <w:link w:val="94"/>
    <w:qFormat/>
    <w:locked/>
    <w:uiPriority w:val="99"/>
    <w:rPr>
      <w:rFonts w:eastAsia="宋体"/>
      <w:b/>
      <w:bCs/>
      <w:kern w:val="2"/>
      <w:sz w:val="28"/>
      <w:szCs w:val="28"/>
      <w:lang w:val="en-US" w:eastAsia="zh-CN"/>
    </w:rPr>
  </w:style>
  <w:style w:type="paragraph" w:customStyle="1" w:styleId="94">
    <w:name w:val="Style Heading 3 +"/>
    <w:basedOn w:val="8"/>
    <w:link w:val="93"/>
    <w:qFormat/>
    <w:uiPriority w:val="99"/>
    <w:pPr>
      <w:adjustRightInd/>
      <w:spacing w:before="120" w:after="120" w:line="120" w:lineRule="atLeast"/>
      <w:textAlignment w:val="auto"/>
    </w:pPr>
    <w:rPr>
      <w:kern w:val="2"/>
      <w:sz w:val="28"/>
      <w:szCs w:val="28"/>
    </w:rPr>
  </w:style>
  <w:style w:type="character" w:customStyle="1" w:styleId="95">
    <w:name w:val="font11"/>
    <w:qFormat/>
    <w:uiPriority w:val="99"/>
    <w:rPr>
      <w:rFonts w:ascii="宋体" w:hAnsi="宋体" w:eastAsia="宋体" w:cs="宋体"/>
      <w:color w:val="000000"/>
      <w:sz w:val="24"/>
      <w:szCs w:val="24"/>
      <w:u w:val="none"/>
    </w:rPr>
  </w:style>
  <w:style w:type="character" w:customStyle="1" w:styleId="96">
    <w:name w:val="正文缩进 Char"/>
    <w:link w:val="17"/>
    <w:qFormat/>
    <w:locked/>
    <w:uiPriority w:val="99"/>
    <w:rPr>
      <w:kern w:val="2"/>
      <w:sz w:val="21"/>
      <w:szCs w:val="21"/>
    </w:rPr>
  </w:style>
  <w:style w:type="character" w:customStyle="1" w:styleId="97">
    <w:name w:val="font01"/>
    <w:qFormat/>
    <w:uiPriority w:val="99"/>
    <w:rPr>
      <w:rFonts w:ascii="宋体" w:hAnsi="宋体" w:eastAsia="宋体" w:cs="宋体"/>
      <w:color w:val="FF0000"/>
      <w:sz w:val="24"/>
      <w:szCs w:val="24"/>
      <w:u w:val="none"/>
    </w:rPr>
  </w:style>
  <w:style w:type="paragraph" w:customStyle="1" w:styleId="98">
    <w:name w:val="简单回函地址"/>
    <w:basedOn w:val="1"/>
    <w:qFormat/>
    <w:uiPriority w:val="99"/>
  </w:style>
  <w:style w:type="paragraph" w:customStyle="1" w:styleId="99">
    <w:name w:val="纯文本2"/>
    <w:basedOn w:val="1"/>
    <w:qFormat/>
    <w:uiPriority w:val="99"/>
    <w:rPr>
      <w:rFonts w:ascii="宋体" w:hAnsi="Courier New" w:cs="宋体"/>
      <w:sz w:val="28"/>
      <w:szCs w:val="28"/>
    </w:rPr>
  </w:style>
  <w:style w:type="paragraph" w:customStyle="1" w:styleId="100">
    <w:name w:val="图文"/>
    <w:basedOn w:val="1"/>
    <w:qFormat/>
    <w:uiPriority w:val="99"/>
    <w:pPr>
      <w:adjustRightInd w:val="0"/>
      <w:snapToGrid w:val="0"/>
      <w:spacing w:after="50" w:line="360" w:lineRule="auto"/>
    </w:pPr>
    <w:rPr>
      <w:sz w:val="24"/>
      <w:szCs w:val="24"/>
    </w:rPr>
  </w:style>
  <w:style w:type="paragraph" w:customStyle="1" w:styleId="101">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02">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03">
    <w:name w:val="1"/>
    <w:basedOn w:val="1"/>
    <w:next w:val="26"/>
    <w:qFormat/>
    <w:uiPriority w:val="99"/>
    <w:rPr>
      <w:rFonts w:ascii="宋体" w:hAnsi="Courier New" w:cs="宋体"/>
    </w:rPr>
  </w:style>
  <w:style w:type="paragraph" w:customStyle="1" w:styleId="104">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05">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06">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07">
    <w:name w:val="Char Char Char1 Char"/>
    <w:basedOn w:val="1"/>
    <w:qFormat/>
    <w:uiPriority w:val="99"/>
  </w:style>
  <w:style w:type="paragraph" w:customStyle="1" w:styleId="108">
    <w:name w:val="列出段落1"/>
    <w:basedOn w:val="1"/>
    <w:qFormat/>
    <w:uiPriority w:val="99"/>
    <w:pPr>
      <w:ind w:firstLine="420" w:firstLineChars="200"/>
    </w:pPr>
  </w:style>
  <w:style w:type="paragraph" w:customStyle="1" w:styleId="109">
    <w:name w:val="Normal_12_0"/>
    <w:qFormat/>
    <w:uiPriority w:val="99"/>
    <w:rPr>
      <w:rFonts w:ascii="黑体" w:hAnsi="黑体" w:eastAsia="黑体" w:cs="黑体"/>
      <w:b/>
      <w:bCs/>
      <w:sz w:val="32"/>
      <w:szCs w:val="32"/>
      <w:lang w:val="en-US" w:eastAsia="zh-CN" w:bidi="ar-SA"/>
    </w:rPr>
  </w:style>
  <w:style w:type="paragraph" w:customStyle="1" w:styleId="110">
    <w:name w:val="p0"/>
    <w:basedOn w:val="1"/>
    <w:qFormat/>
    <w:uiPriority w:val="99"/>
    <w:pPr>
      <w:widowControl/>
    </w:pPr>
    <w:rPr>
      <w:kern w:val="0"/>
    </w:rPr>
  </w:style>
  <w:style w:type="paragraph" w:customStyle="1" w:styleId="111">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2">
    <w:name w:val="列出段落11"/>
    <w:basedOn w:val="1"/>
    <w:qFormat/>
    <w:uiPriority w:val="99"/>
    <w:pPr>
      <w:ind w:firstLine="200" w:firstLineChars="200"/>
    </w:pPr>
    <w:rPr>
      <w:rFonts w:ascii="Calibri" w:hAnsi="Calibri" w:cs="Calibri"/>
    </w:rPr>
  </w:style>
  <w:style w:type="paragraph" w:customStyle="1" w:styleId="113">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默认段落字体 Para Char Char Char Char"/>
    <w:basedOn w:val="1"/>
    <w:qFormat/>
    <w:uiPriority w:val="99"/>
  </w:style>
  <w:style w:type="paragraph" w:customStyle="1" w:styleId="115">
    <w:name w:val="样式 标题 1 + 宋体 段前: 0 磅 段后: 0 磅 行距: 单倍行距"/>
    <w:basedOn w:val="6"/>
    <w:next w:val="1"/>
    <w:qFormat/>
    <w:uiPriority w:val="99"/>
    <w:pPr>
      <w:spacing w:beforeLines="100" w:afterLines="100"/>
    </w:pPr>
    <w:rPr>
      <w:rFonts w:ascii="仿宋_GB2312" w:hAnsi="宋体" w:cs="仿宋_GB2312"/>
    </w:rPr>
  </w:style>
  <w:style w:type="paragraph" w:customStyle="1" w:styleId="116">
    <w:name w:val="样式 标题 2 + 黑色 行距: 1.5 倍行距"/>
    <w:basedOn w:val="7"/>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styleId="117">
    <w:name w:val="List Paragraph"/>
    <w:basedOn w:val="1"/>
    <w:qFormat/>
    <w:uiPriority w:val="99"/>
    <w:pPr>
      <w:ind w:firstLine="420" w:firstLineChars="200"/>
    </w:pPr>
  </w:style>
  <w:style w:type="paragraph" w:customStyle="1" w:styleId="118">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character" w:customStyle="1" w:styleId="119">
    <w:name w:val="font21"/>
    <w:qFormat/>
    <w:uiPriority w:val="99"/>
    <w:rPr>
      <w:rFonts w:ascii="楷体_GB2312" w:eastAsia="楷体_GB2312" w:cs="楷体_GB2312"/>
      <w:color w:val="000000"/>
      <w:sz w:val="24"/>
      <w:szCs w:val="24"/>
      <w:u w:val="none"/>
    </w:rPr>
  </w:style>
  <w:style w:type="paragraph" w:customStyle="1" w:styleId="120">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21">
    <w:name w:val="正文_0"/>
    <w:qFormat/>
    <w:uiPriority w:val="99"/>
    <w:rPr>
      <w:rFonts w:ascii="Times New Roman" w:hAnsi="Times New Roman" w:eastAsia="宋体" w:cs="Times New Roman"/>
      <w:sz w:val="21"/>
      <w:szCs w:val="21"/>
      <w:lang w:val="en-US" w:eastAsia="zh-CN" w:bidi="ar-SA"/>
    </w:rPr>
  </w:style>
  <w:style w:type="paragraph" w:customStyle="1" w:styleId="122">
    <w:name w:val="正文首行缩进 21"/>
    <w:basedOn w:val="3"/>
    <w:unhideWhenUsed/>
    <w:qFormat/>
    <w:uiPriority w:val="99"/>
    <w:pPr>
      <w:spacing w:after="0" w:line="520" w:lineRule="exact"/>
      <w:ind w:left="570" w:firstLine="420" w:firstLineChars="200"/>
    </w:pPr>
    <w:rPr>
      <w:rFonts w:ascii="方正仿宋简体" w:hAnsi="创艺简仿宋" w:eastAsia="方正仿宋简体"/>
      <w:szCs w:val="20"/>
    </w:rPr>
  </w:style>
  <w:style w:type="table" w:customStyle="1" w:styleId="123">
    <w:name w:val="网格型1"/>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4">
    <w:name w:val="Table Paragraph"/>
    <w:basedOn w:val="1"/>
    <w:qFormat/>
    <w:uiPriority w:val="0"/>
    <w:rPr>
      <w:rFonts w:hint="eastAsia" w:ascii="微软雅黑" w:hAnsi="微软雅黑" w:eastAsia="微软雅黑"/>
      <w:szCs w:val="24"/>
    </w:rPr>
  </w:style>
  <w:style w:type="paragraph" w:customStyle="1" w:styleId="125">
    <w:name w:val="Fließtext"/>
    <w:basedOn w:val="1"/>
    <w:qFormat/>
    <w:uiPriority w:val="0"/>
    <w:pPr>
      <w:overflowPunct w:val="0"/>
      <w:autoSpaceDE w:val="0"/>
      <w:autoSpaceDN w:val="0"/>
      <w:adjustRightInd w:val="0"/>
    </w:pPr>
    <w:rPr>
      <w:kern w:val="28"/>
      <w:szCs w:val="20"/>
    </w:rPr>
  </w:style>
  <w:style w:type="paragraph" w:customStyle="1" w:styleId="126">
    <w:name w:val="段"/>
    <w:basedOn w:val="1"/>
    <w:next w:val="1"/>
    <w:qFormat/>
    <w:uiPriority w:val="0"/>
    <w:pPr>
      <w:widowControl/>
      <w:autoSpaceDE w:val="0"/>
      <w:autoSpaceDN w:val="0"/>
      <w:ind w:firstLine="200" w:firstLineChars="200"/>
    </w:pPr>
    <w:rPr>
      <w:rFonts w:hint="eastAsia" w:ascii="宋体"/>
      <w:kern w:val="0"/>
    </w:rPr>
  </w:style>
  <w:style w:type="paragraph" w:customStyle="1" w:styleId="127">
    <w:name w:val="一级条标题"/>
    <w:basedOn w:val="128"/>
    <w:next w:val="126"/>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28">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49D0B-61EC-45F2-8466-6FA155A50DF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3853</Words>
  <Characters>21967</Characters>
  <Lines>183</Lines>
  <Paragraphs>51</Paragraphs>
  <TotalTime>1</TotalTime>
  <ScaleCrop>false</ScaleCrop>
  <LinksUpToDate>false</LinksUpToDate>
  <CharactersWithSpaces>25769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2021-11-16T07:34:00Z</dcterms:created>
  <dc:creator>ql</dc:creator>
  <cp:lastModifiedBy>IVY</cp:lastModifiedBy>
  <cp:lastPrinted>2020-01-06T09:25:00Z</cp:lastPrinted>
  <dcterms:modified xsi:type="dcterms:W3CDTF">2022-03-17T09:09:26Z</dcterms:modified>
  <cp:revision>2092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44DDDFE3A43843D68CD8A4DEDE203723</vt:lpwstr>
  </property>
</Properties>
</file>