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2"/>
      </w:pPr>
    </w:p>
    <w:p>
      <w:pPr>
        <w:pStyle w:val="56"/>
        <w:tabs>
          <w:tab w:val="left" w:pos="420"/>
        </w:tabs>
        <w:spacing w:before="120"/>
        <w:ind w:firstLine="210"/>
      </w:pPr>
    </w:p>
    <w:p>
      <w:pPr>
        <w:tabs>
          <w:tab w:val="left" w:pos="1050"/>
          <w:tab w:val="right" w:leader="dot" w:pos="9402"/>
        </w:tabs>
        <w:spacing w:afterLines="50"/>
        <w:jc w:val="center"/>
        <w:rPr>
          <w:rFonts w:hint="eastAsia" w:ascii="黑体" w:hAnsi="黑体" w:eastAsia="黑体" w:cs="黑体"/>
          <w:b w:val="0"/>
          <w:bCs w:val="0"/>
          <w:w w:val="100"/>
          <w:sz w:val="48"/>
          <w:szCs w:val="48"/>
          <w:lang w:eastAsia="zh-CN"/>
        </w:rPr>
      </w:pPr>
      <w:r>
        <w:rPr>
          <w:rFonts w:hint="eastAsia" w:ascii="黑体" w:hAnsi="黑体" w:eastAsia="黑体" w:cs="黑体"/>
          <w:b w:val="0"/>
          <w:bCs w:val="0"/>
          <w:w w:val="100"/>
          <w:sz w:val="48"/>
          <w:szCs w:val="48"/>
          <w:lang w:eastAsia="zh-CN"/>
        </w:rPr>
        <w:t>南通市妇幼保健院医用气体采购项目</w:t>
      </w:r>
    </w:p>
    <w:p>
      <w:pPr>
        <w:tabs>
          <w:tab w:val="left" w:pos="1050"/>
          <w:tab w:val="right" w:leader="dot" w:pos="9402"/>
        </w:tabs>
        <w:spacing w:line="1600" w:lineRule="exact"/>
        <w:jc w:val="center"/>
        <w:rPr>
          <w:rFonts w:hint="eastAsia" w:ascii="宋体" w:hAnsi="宋体" w:eastAsia="宋体" w:cs="宋体"/>
          <w:sz w:val="52"/>
          <w:szCs w:val="52"/>
          <w:lang w:eastAsia="zh-CN"/>
        </w:rPr>
      </w:pPr>
      <w:r>
        <w:rPr>
          <w:rFonts w:hint="eastAsia" w:ascii="宋体" w:hAnsi="宋体" w:eastAsia="宋体" w:cs="宋体"/>
          <w:sz w:val="52"/>
          <w:szCs w:val="52"/>
        </w:rPr>
        <w:t>竞争性磋商文件</w:t>
      </w:r>
      <w:r>
        <w:rPr>
          <w:rFonts w:hint="eastAsia" w:ascii="宋体" w:hAnsi="宋体" w:eastAsia="宋体" w:cs="宋体"/>
          <w:sz w:val="52"/>
          <w:szCs w:val="52"/>
          <w:lang w:eastAsia="zh-CN"/>
        </w:rPr>
        <w:t>（三次）</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4"/>
      </w:pPr>
    </w:p>
    <w:p>
      <w:pPr>
        <w:snapToGrid w:val="0"/>
        <w:spacing w:line="360" w:lineRule="auto"/>
        <w:rPr>
          <w:rFonts w:ascii="Arial" w:hAnsi="Arial" w:eastAsia="黑体"/>
          <w:b/>
          <w:bCs/>
          <w:sz w:val="36"/>
          <w:szCs w:val="36"/>
        </w:rPr>
      </w:pPr>
    </w:p>
    <w:p>
      <w:pPr>
        <w:pStyle w:val="2"/>
        <w:rPr>
          <w:rFonts w:ascii="Arial" w:hAnsi="Arial" w:eastAsia="黑体"/>
          <w:b/>
          <w:bCs/>
          <w:sz w:val="36"/>
          <w:szCs w:val="36"/>
        </w:rPr>
      </w:pPr>
    </w:p>
    <w:p>
      <w:pPr>
        <w:pStyle w:val="2"/>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rPr>
        <w:t>采购人：</w:t>
      </w:r>
      <w:r>
        <w:rPr>
          <w:rFonts w:hint="eastAsia" w:ascii="宋体" w:hAnsi="宋体" w:eastAsia="宋体" w:cs="宋体"/>
          <w:kern w:val="0"/>
          <w:sz w:val="32"/>
          <w:szCs w:val="32"/>
          <w:lang w:eastAsia="zh-CN"/>
        </w:rPr>
        <w:t>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二〇二一年</w:t>
      </w:r>
      <w:r>
        <w:rPr>
          <w:rFonts w:hint="eastAsia" w:ascii="宋体" w:hAnsi="宋体" w:eastAsia="宋体" w:cs="宋体"/>
          <w:kern w:val="0"/>
          <w:sz w:val="32"/>
          <w:szCs w:val="32"/>
          <w:lang w:eastAsia="zh-CN"/>
        </w:rPr>
        <w:t>十一</w:t>
      </w:r>
      <w:r>
        <w:rPr>
          <w:rFonts w:hint="eastAsia" w:ascii="宋体" w:hAnsi="宋体" w:eastAsia="宋体" w:cs="宋体"/>
          <w:kern w:val="0"/>
          <w:sz w:val="32"/>
          <w:szCs w:val="32"/>
        </w:rPr>
        <w:t>月</w:t>
      </w:r>
      <w:r>
        <w:pict>
          <v:shape id="_x0000_s2051" o:spid="_x0000_s2051"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txbxContent>
            </v:textbox>
          </v:shape>
        </w:pict>
      </w:r>
      <w:r>
        <w:pict>
          <v:shape id="_x0000_s2050" o:spid="_x0000_s2050"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sectPr>
          <w:headerReference r:id="rId4" w:type="first"/>
          <w:footerReference r:id="rId6" w:type="first"/>
          <w:headerReference r:id="rId3" w:type="default"/>
          <w:footerReference r:id="rId5" w:type="default"/>
          <w:pgSz w:w="11906" w:h="16838"/>
          <w:pgMar w:top="1304" w:right="1417" w:bottom="1304" w:left="1418" w:header="851" w:footer="449" w:gutter="0"/>
          <w:cols w:space="720" w:num="1"/>
          <w:docGrid w:type="lines" w:linePitch="380" w:charSpace="-5735"/>
        </w:sectPr>
      </w:pPr>
    </w:p>
    <w:p>
      <w:pPr>
        <w:pStyle w:val="74"/>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304" w:right="1417" w:bottom="1304" w:left="1418" w:header="851" w:footer="449" w:gutter="0"/>
          <w:pgNumType w:start="1"/>
          <w:cols w:space="720" w:num="1"/>
          <w:docGrid w:type="lines" w:linePitch="380" w:charSpace="-5735"/>
        </w:sect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w:t>
      </w:r>
      <w:r>
        <w:rPr>
          <w:rFonts w:hint="eastAsia" w:cs="宋体" w:asciiTheme="majorEastAsia" w:hAnsiTheme="majorEastAsia" w:eastAsiaTheme="majorEastAsia"/>
          <w:sz w:val="24"/>
          <w:szCs w:val="24"/>
          <w:lang w:eastAsia="zh-CN"/>
        </w:rPr>
        <w:t>南通市妇幼保健院</w:t>
      </w:r>
      <w:r>
        <w:rPr>
          <w:rFonts w:hint="eastAsia" w:cs="宋体" w:asciiTheme="majorEastAsia" w:hAnsiTheme="majorEastAsia" w:eastAsiaTheme="majorEastAsia"/>
          <w:sz w:val="24"/>
          <w:szCs w:val="24"/>
        </w:rPr>
        <w:t>（以下称采购单位）的委托，就</w:t>
      </w:r>
      <w:r>
        <w:rPr>
          <w:rFonts w:hint="eastAsia" w:cs="宋体" w:asciiTheme="majorEastAsia" w:hAnsiTheme="majorEastAsia" w:eastAsiaTheme="majorEastAsia"/>
          <w:sz w:val="24"/>
          <w:szCs w:val="24"/>
          <w:lang w:eastAsia="zh-CN"/>
        </w:rPr>
        <w:t>南通市妇幼保健院医用气体采购项目</w:t>
      </w:r>
      <w:r>
        <w:rPr>
          <w:rFonts w:hint="eastAsia" w:cs="宋体" w:asciiTheme="majorEastAsia" w:hAnsiTheme="majorEastAsia" w:eastAsiaTheme="majorEastAsia"/>
          <w:sz w:val="24"/>
          <w:szCs w:val="24"/>
        </w:rPr>
        <w:t>组织竞争性磋商采购</w:t>
      </w:r>
      <w:r>
        <w:rPr>
          <w:rFonts w:hint="eastAsia" w:cs="宋体" w:asciiTheme="majorEastAsia" w:hAnsiTheme="majorEastAsia" w:eastAsiaTheme="majorEastAsia"/>
          <w:sz w:val="24"/>
          <w:szCs w:val="24"/>
          <w:lang w:eastAsia="zh-CN"/>
        </w:rPr>
        <w:t>（三次）</w:t>
      </w:r>
      <w:r>
        <w:rPr>
          <w:rFonts w:hint="eastAsia" w:cs="宋体" w:asciiTheme="majorEastAsia" w:hAnsiTheme="majorEastAsia" w:eastAsiaTheme="majorEastAsia"/>
          <w:sz w:val="24"/>
          <w:szCs w:val="24"/>
        </w:rPr>
        <w:t>，诚邀符合条件的潜在供应商参加该项目的竞争性磋商。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rPr>
        <w:t>项目名称：南通市妇幼保健院医用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highlight w:val="none"/>
          <w:lang w:val="en-US" w:eastAsia="zh-CN"/>
        </w:rPr>
        <w:t>255510</w:t>
      </w:r>
      <w:r>
        <w:rPr>
          <w:rFonts w:hint="eastAsia" w:cs="宋体" w:asciiTheme="majorEastAsia" w:hAnsiTheme="majorEastAsia" w:eastAsiaTheme="majorEastAsia"/>
          <w:sz w:val="24"/>
          <w:szCs w:val="24"/>
          <w:highlight w:val="none"/>
        </w:rPr>
        <w:t>元</w:t>
      </w:r>
      <w:bookmarkEnd w:id="2"/>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项目需求：见</w:t>
      </w:r>
      <w:r>
        <w:rPr>
          <w:rFonts w:hint="eastAsia" w:cs="宋体" w:asciiTheme="majorEastAsia" w:hAnsiTheme="majorEastAsia" w:eastAsiaTheme="majorEastAsia"/>
          <w:sz w:val="24"/>
          <w:szCs w:val="24"/>
          <w:lang w:eastAsia="zh-CN"/>
        </w:rPr>
        <w:t>本竞争性</w:t>
      </w:r>
      <w:r>
        <w:rPr>
          <w:rFonts w:hint="eastAsia" w:cs="宋体" w:asciiTheme="majorEastAsia" w:hAnsiTheme="majorEastAsia" w:eastAsiaTheme="majorEastAsia"/>
          <w:sz w:val="24"/>
          <w:szCs w:val="24"/>
        </w:rPr>
        <w:t>磋商文件第三章</w:t>
      </w:r>
      <w:r>
        <w:rPr>
          <w:rFonts w:hint="eastAsia" w:cs="宋体" w:asciiTheme="majorEastAsia" w:hAnsiTheme="majorEastAsia" w:eastAsiaTheme="majorEastAsia"/>
          <w:sz w:val="24"/>
          <w:szCs w:val="24"/>
          <w:lang w:eastAsia="zh-CN"/>
        </w:rPr>
        <w:t>。</w:t>
      </w:r>
    </w:p>
    <w:p>
      <w:pPr>
        <w:widowControl/>
        <w:snapToGrid w:val="0"/>
        <w:spacing w:line="440" w:lineRule="exact"/>
        <w:ind w:firstLine="480" w:firstLineChars="200"/>
        <w:jc w:val="left"/>
        <w:rPr>
          <w:rFonts w:hint="eastAsia" w:cs="宋体" w:asciiTheme="majorEastAsia" w:hAnsiTheme="majorEastAsia" w:eastAsiaTheme="majorEastAsia"/>
          <w:b/>
          <w:sz w:val="24"/>
          <w:szCs w:val="24"/>
          <w:highlight w:val="none"/>
          <w:lang w:eastAsia="zh-CN"/>
        </w:rPr>
      </w:pPr>
      <w:r>
        <w:rPr>
          <w:rFonts w:hint="eastAsia" w:cs="宋体" w:asciiTheme="majorEastAsia" w:hAnsiTheme="majorEastAsia" w:eastAsiaTheme="majorEastAsia"/>
          <w:sz w:val="24"/>
          <w:szCs w:val="24"/>
          <w:highlight w:val="none"/>
          <w:lang w:eastAsia="zh-CN"/>
        </w:rPr>
        <w:t>服务周期：</w:t>
      </w:r>
      <w:r>
        <w:rPr>
          <w:rFonts w:hint="eastAsia" w:cs="宋体" w:asciiTheme="majorEastAsia" w:hAnsiTheme="majorEastAsia" w:eastAsiaTheme="majorEastAsia"/>
          <w:sz w:val="24"/>
          <w:szCs w:val="24"/>
          <w:highlight w:val="none"/>
          <w:lang w:val="en-US" w:eastAsia="zh-CN"/>
        </w:rPr>
        <w:t>1年，自合同签订之日起计</w:t>
      </w:r>
      <w:r>
        <w:rPr>
          <w:rFonts w:hint="eastAsia" w:cs="宋体" w:asciiTheme="majorEastAsia" w:hAnsiTheme="majorEastAsia" w:eastAsiaTheme="majorEastAsia"/>
          <w:sz w:val="24"/>
          <w:szCs w:val="24"/>
          <w:highlight w:val="none"/>
          <w:lang w:eastAsia="zh-CN"/>
        </w:rPr>
        <w:t>。</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r>
        <w:rPr>
          <w:rFonts w:hint="eastAsia" w:cs="宋体" w:asciiTheme="majorEastAsia" w:hAnsiTheme="majorEastAsia" w:eastAsiaTheme="majorEastAsia"/>
          <w:sz w:val="24"/>
          <w:szCs w:val="24"/>
          <w:lang w:eastAsia="zh-CN"/>
        </w:rPr>
        <w:t>；法律、行政法规规定的其他条件</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其他资格要求：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hint="eastAsia" w:cs="宋体" w:asciiTheme="majorEastAsia" w:hAnsiTheme="majorEastAsia" w:eastAsiaTheme="majorEastAsia"/>
          <w:sz w:val="24"/>
          <w:szCs w:val="24"/>
          <w:lang w:eastAsia="zh-CN"/>
        </w:rPr>
        <w:t>投标</w:t>
      </w:r>
      <w:r>
        <w:rPr>
          <w:rFonts w:hint="eastAsia" w:cs="宋体" w:asciiTheme="majorEastAsia" w:hAnsiTheme="majorEastAsia" w:eastAsiaTheme="majorEastAsia"/>
          <w:sz w:val="24"/>
          <w:szCs w:val="24"/>
          <w:lang w:val="zh-CN"/>
        </w:rPr>
        <w:t>供应商必须具有独立的法人资格，且有能力提供本次采购项目所要求的服务，提供有效的营业执照</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4、具备有效的《药品生产许可证》、《药品GMP证书》、《药品注册证》或《药品注册批件》。</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w:t>
      </w:r>
      <w:r>
        <w:rPr>
          <w:rFonts w:hint="eastAsia" w:cs="宋体" w:asciiTheme="majorEastAsia" w:hAnsiTheme="majorEastAsia" w:eastAsiaTheme="majorEastAsia"/>
          <w:sz w:val="24"/>
          <w:szCs w:val="24"/>
          <w:highlight w:val="none"/>
          <w:lang w:val="zh-CN"/>
        </w:rPr>
        <w:t>授权委托人为供应商正式人员证明材料【提供①与供应商签订的有效劳动合同复印件；②供应商为其缴纳的202</w:t>
      </w:r>
      <w:r>
        <w:rPr>
          <w:rFonts w:hint="eastAsia"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lang w:val="zh-CN"/>
        </w:rPr>
        <w:t>年</w:t>
      </w:r>
      <w:r>
        <w:rPr>
          <w:rFonts w:hint="eastAsia" w:cs="宋体" w:asciiTheme="majorEastAsia" w:hAnsiTheme="majorEastAsia" w:eastAsiaTheme="majorEastAsia"/>
          <w:sz w:val="24"/>
          <w:szCs w:val="24"/>
          <w:highlight w:val="none"/>
          <w:lang w:val="en-US" w:eastAsia="zh-CN"/>
        </w:rPr>
        <w:t>3</w:t>
      </w:r>
      <w:r>
        <w:rPr>
          <w:rFonts w:hint="eastAsia" w:cs="宋体" w:asciiTheme="majorEastAsia" w:hAnsiTheme="majorEastAsia" w:eastAsiaTheme="majorEastAsia"/>
          <w:sz w:val="24"/>
          <w:szCs w:val="24"/>
          <w:highlight w:val="none"/>
          <w:lang w:val="zh-CN"/>
        </w:rPr>
        <w:t>月-2021年</w:t>
      </w:r>
      <w:r>
        <w:rPr>
          <w:rFonts w:hint="eastAsia" w:cs="宋体" w:asciiTheme="majorEastAsia" w:hAnsiTheme="majorEastAsia" w:eastAsiaTheme="majorEastAsia"/>
          <w:sz w:val="24"/>
          <w:szCs w:val="24"/>
          <w:highlight w:val="none"/>
          <w:lang w:val="en-US" w:eastAsia="zh-CN"/>
        </w:rPr>
        <w:t>8</w:t>
      </w:r>
      <w:r>
        <w:rPr>
          <w:rFonts w:hint="eastAsia" w:cs="宋体" w:asciiTheme="majorEastAsia" w:hAnsiTheme="majorEastAsia" w:eastAsiaTheme="majorEastAsia"/>
          <w:sz w:val="24"/>
          <w:szCs w:val="24"/>
          <w:highlight w:val="none"/>
          <w:lang w:val="zh-CN"/>
        </w:rPr>
        <w:t>月连续六个月的社保缴费证明复印件。】。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6</w:t>
      </w:r>
      <w:r>
        <w:rPr>
          <w:rFonts w:hint="eastAsia" w:cs="宋体" w:asciiTheme="majorEastAsia" w:hAnsiTheme="majorEastAsia" w:eastAsiaTheme="majorEastAsia"/>
          <w:sz w:val="24"/>
          <w:szCs w:val="24"/>
        </w:rPr>
        <w:t>、提供参与本次项目采购活动前三年内在经营活动中没有重大违法记录的书面《无重大违法记录声明函》。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8</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w:t>
      </w:r>
      <w:r>
        <w:rPr>
          <w:rFonts w:hint="eastAsia" w:cs="宋体" w:asciiTheme="majorEastAsia" w:hAnsiTheme="majorEastAsia" w:eastAsiaTheme="majorEastAsia"/>
          <w:b/>
          <w:sz w:val="24"/>
          <w:szCs w:val="24"/>
          <w:lang w:eastAsia="zh-CN"/>
        </w:rPr>
        <w:t>且将依照相关法律法规规定处理。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有意愿参与本项目磋商的供应商，请于本公告发布之日起至开标前，至“南通市妇幼保健院官网（http://www.ntfybj.com/）”</w:t>
      </w:r>
      <w:r>
        <w:rPr>
          <w:rFonts w:hint="eastAsia" w:cs="宋体" w:asciiTheme="majorEastAsia" w:hAnsiTheme="majorEastAsia" w:eastAsiaTheme="majorEastAsia"/>
          <w:bCs/>
          <w:sz w:val="24"/>
          <w:szCs w:val="24"/>
          <w:lang w:eastAsia="zh-CN"/>
        </w:rPr>
        <w:t>或</w:t>
      </w:r>
      <w:r>
        <w:rPr>
          <w:rFonts w:hint="eastAsia" w:cs="宋体" w:asciiTheme="majorEastAsia" w:hAnsiTheme="majorEastAsia" w:eastAsiaTheme="majorEastAsia"/>
          <w:bCs/>
          <w:sz w:val="24"/>
          <w:szCs w:val="24"/>
        </w:rPr>
        <w:t>“南通市卫生健康委员会官网（</w:t>
      </w:r>
      <w:r>
        <w:rPr>
          <w:rFonts w:hint="eastAsia" w:cs="宋体" w:asciiTheme="majorEastAsia" w:hAnsiTheme="majorEastAsia" w:eastAsiaTheme="majorEastAsia"/>
          <w:bCs/>
          <w:sz w:val="24"/>
          <w:szCs w:val="24"/>
        </w:rPr>
        <w:fldChar w:fldCharType="begin"/>
      </w:r>
      <w:r>
        <w:rPr>
          <w:rFonts w:hint="eastAsia" w:cs="宋体" w:asciiTheme="majorEastAsia" w:hAnsiTheme="majorEastAsia" w:eastAsiaTheme="majorEastAsia"/>
          <w:bCs/>
          <w:sz w:val="24"/>
          <w:szCs w:val="24"/>
        </w:rPr>
        <w:instrText xml:space="preserve"> HYPERLINK "http://wjw.nantong.gov.cn/" </w:instrText>
      </w:r>
      <w:r>
        <w:rPr>
          <w:rFonts w:hint="eastAsia" w:cs="宋体" w:asciiTheme="majorEastAsia" w:hAnsiTheme="majorEastAsia" w:eastAsiaTheme="majorEastAsia"/>
          <w:bCs/>
          <w:sz w:val="24"/>
          <w:szCs w:val="24"/>
        </w:rPr>
        <w:fldChar w:fldCharType="separate"/>
      </w:r>
      <w:r>
        <w:rPr>
          <w:rFonts w:hint="eastAsia" w:cs="宋体" w:asciiTheme="majorEastAsia" w:hAnsiTheme="majorEastAsia" w:eastAsiaTheme="majorEastAsia"/>
          <w:bCs/>
          <w:sz w:val="24"/>
          <w:szCs w:val="24"/>
        </w:rPr>
        <w:t>http://wjw.nantong.gov.cn/</w:t>
      </w:r>
      <w:r>
        <w:rPr>
          <w:rFonts w:hint="eastAsia" w:cs="宋体" w:asciiTheme="majorEastAsia" w:hAnsiTheme="majorEastAsia" w:eastAsiaTheme="majorEastAsia"/>
          <w:bCs/>
          <w:sz w:val="24"/>
          <w:szCs w:val="24"/>
        </w:rPr>
        <w:fldChar w:fldCharType="end"/>
      </w:r>
      <w:r>
        <w:rPr>
          <w:rFonts w:hint="eastAsia" w:cs="宋体" w:asciiTheme="majorEastAsia" w:hAnsiTheme="majorEastAsia" w:eastAsiaTheme="majorEastAsia"/>
          <w:bCs/>
          <w:sz w:val="24"/>
          <w:szCs w:val="24"/>
        </w:rPr>
        <w:t>）”自行下载本项目的竞争性磋商文件。凡涉及磋商文件的补充说明、澄清或修改，均以上述网站发布的信息为准。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1、截止时间</w:t>
      </w:r>
      <w:r>
        <w:rPr>
          <w:rFonts w:hint="eastAsia" w:cs="宋体" w:asciiTheme="majorEastAsia" w:hAnsiTheme="majorEastAsia" w:eastAsiaTheme="majorEastAsia"/>
          <w:color w:val="000000" w:themeColor="text1"/>
          <w:sz w:val="24"/>
          <w:szCs w:val="24"/>
          <w:highlight w:val="none"/>
        </w:rPr>
        <w:t>：2021年</w:t>
      </w:r>
      <w:r>
        <w:rPr>
          <w:rFonts w:hint="eastAsia" w:cs="宋体" w:asciiTheme="majorEastAsia" w:hAnsiTheme="majorEastAsia" w:eastAsiaTheme="majorEastAsia"/>
          <w:color w:val="000000" w:themeColor="text1"/>
          <w:sz w:val="24"/>
          <w:szCs w:val="24"/>
          <w:highlight w:val="none"/>
          <w:lang w:val="en-US" w:eastAsia="zh-CN"/>
        </w:rPr>
        <w:t>11</w:t>
      </w:r>
      <w:r>
        <w:rPr>
          <w:rFonts w:hint="eastAsia" w:cs="宋体" w:asciiTheme="majorEastAsia" w:hAnsiTheme="majorEastAsia" w:eastAsiaTheme="majorEastAsia"/>
          <w:color w:val="000000" w:themeColor="text1"/>
          <w:sz w:val="24"/>
          <w:szCs w:val="24"/>
          <w:highlight w:val="none"/>
        </w:rPr>
        <w:t>月</w:t>
      </w:r>
      <w:r>
        <w:rPr>
          <w:rFonts w:hint="eastAsia" w:cs="宋体" w:asciiTheme="majorEastAsia" w:hAnsiTheme="majorEastAsia" w:eastAsiaTheme="majorEastAsia"/>
          <w:color w:val="000000" w:themeColor="text1"/>
          <w:sz w:val="24"/>
          <w:szCs w:val="24"/>
          <w:highlight w:val="none"/>
          <w:lang w:val="en-US" w:eastAsia="zh-CN"/>
        </w:rPr>
        <w:t>23</w:t>
      </w:r>
      <w:r>
        <w:rPr>
          <w:rFonts w:hint="eastAsia" w:cs="宋体" w:asciiTheme="majorEastAsia" w:hAnsiTheme="majorEastAsia" w:eastAsiaTheme="majorEastAsia"/>
          <w:color w:val="000000" w:themeColor="text1"/>
          <w:sz w:val="24"/>
          <w:szCs w:val="24"/>
          <w:highlight w:val="none"/>
        </w:rPr>
        <w:t>日</w:t>
      </w:r>
      <w:r>
        <w:rPr>
          <w:rFonts w:hint="eastAsia" w:cs="宋体" w:asciiTheme="majorEastAsia" w:hAnsiTheme="majorEastAsia" w:eastAsiaTheme="majorEastAsia"/>
          <w:color w:val="000000" w:themeColor="text1"/>
          <w:sz w:val="24"/>
          <w:szCs w:val="24"/>
          <w:highlight w:val="none"/>
          <w:lang w:val="en-US" w:eastAsia="zh-CN"/>
        </w:rPr>
        <w:t>14</w:t>
      </w:r>
      <w:r>
        <w:rPr>
          <w:rFonts w:hint="eastAsia" w:cs="宋体" w:asciiTheme="majorEastAsia" w:hAnsiTheme="majorEastAsia" w:eastAsiaTheme="majorEastAsia"/>
          <w:color w:val="000000" w:themeColor="text1"/>
          <w:sz w:val="24"/>
          <w:szCs w:val="24"/>
          <w:highlight w:val="none"/>
        </w:rPr>
        <w:t>时</w:t>
      </w:r>
      <w:r>
        <w:rPr>
          <w:rFonts w:hint="eastAsia" w:cs="宋体" w:asciiTheme="majorEastAsia" w:hAnsiTheme="majorEastAsia" w:eastAsiaTheme="majorEastAsia"/>
          <w:color w:val="000000" w:themeColor="text1"/>
          <w:sz w:val="24"/>
          <w:szCs w:val="24"/>
          <w:highlight w:val="none"/>
          <w:lang w:val="en-US" w:eastAsia="zh-CN"/>
        </w:rPr>
        <w:t>30</w:t>
      </w:r>
      <w:r>
        <w:rPr>
          <w:rFonts w:hint="eastAsia" w:cs="宋体" w:asciiTheme="majorEastAsia" w:hAnsiTheme="majorEastAsia" w:eastAsiaTheme="majorEastAsia"/>
          <w:color w:val="000000" w:themeColor="text1"/>
          <w:sz w:val="24"/>
          <w:szCs w:val="24"/>
          <w:highlight w:val="none"/>
        </w:rPr>
        <w:t>分（北京时间）。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highlight w:val="none"/>
          <w:lang w:eastAsia="zh-CN"/>
        </w:rPr>
        <w:t>）</w:t>
      </w:r>
      <w:r>
        <w:rPr>
          <w:rFonts w:hint="eastAsia" w:cs="宋体" w:asciiTheme="majorEastAsia" w:hAnsiTheme="majorEastAsia" w:eastAsiaTheme="majorEastAsia"/>
          <w:sz w:val="24"/>
          <w:szCs w:val="24"/>
          <w:highlight w:val="none"/>
        </w:rPr>
        <w:t>，如有变动另行通知。</w:t>
      </w:r>
      <w:r>
        <w:rPr>
          <w:rFonts w:hint="eastAsia" w:cs="宋体" w:asciiTheme="majorEastAsia" w:hAnsiTheme="majorEastAsia" w:eastAsiaTheme="majorEastAsia"/>
          <w:bCs/>
          <w:sz w:val="24"/>
          <w:szCs w:val="24"/>
          <w:highlight w:val="none"/>
        </w:rPr>
        <w:t>逾期送达或</w:t>
      </w:r>
      <w:r>
        <w:rPr>
          <w:rFonts w:hint="eastAsia" w:cs="宋体" w:asciiTheme="majorEastAsia" w:hAnsiTheme="majorEastAsia" w:eastAsiaTheme="majorEastAsia"/>
          <w:bCs/>
          <w:sz w:val="24"/>
          <w:szCs w:val="24"/>
        </w:rPr>
        <w:t>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ascii="宋体" w:hAnsi="宋体" w:eastAsia="宋体" w:cs="宋体"/>
          <w:b/>
          <w:bCs/>
          <w:kern w:val="0"/>
          <w:sz w:val="24"/>
          <w:szCs w:val="24"/>
        </w:rPr>
        <w:drawing>
          <wp:anchor distT="0" distB="0" distL="114300" distR="114300" simplePos="0" relativeHeight="251662336" behindDoc="0" locked="0" layoutInCell="1" allowOverlap="1">
            <wp:simplePos x="0" y="0"/>
            <wp:positionH relativeFrom="column">
              <wp:posOffset>4398645</wp:posOffset>
            </wp:positionH>
            <wp:positionV relativeFrom="paragraph">
              <wp:posOffset>1733550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hint="eastAsia" w:ascii="宋体" w:hAnsi="宋体" w:eastAsia="宋体" w:cs="宋体"/>
          <w:b/>
          <w:bCs/>
          <w:kern w:val="0"/>
          <w:sz w:val="24"/>
          <w:szCs w:val="24"/>
        </w:rPr>
        <w:t>3、</w:t>
      </w:r>
      <w:r>
        <w:rPr>
          <w:rFonts w:ascii="宋体" w:hAnsi="宋体" w:eastAsia="宋体" w:cs="宋体"/>
          <w:b/>
          <w:bCs/>
          <w:kern w:val="0"/>
          <w:sz w:val="24"/>
          <w:szCs w:val="24"/>
        </w:rPr>
        <w:t>根据疫情防控工作要求，请参加本项目招投标活动的人员，在进入</w:t>
      </w:r>
      <w:r>
        <w:rPr>
          <w:rFonts w:hint="eastAsia" w:ascii="宋体" w:hAnsi="宋体" w:eastAsia="宋体" w:cs="宋体"/>
          <w:b/>
          <w:bCs/>
          <w:kern w:val="0"/>
          <w:sz w:val="24"/>
          <w:szCs w:val="24"/>
        </w:rPr>
        <w:t>活动</w:t>
      </w:r>
      <w:r>
        <w:rPr>
          <w:rFonts w:ascii="宋体" w:hAnsi="宋体" w:eastAsia="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hint="eastAsia" w:ascii="宋体" w:hAnsi="宋体" w:eastAsia="宋体" w:cs="宋体"/>
          <w:b/>
          <w:bCs/>
          <w:kern w:val="0"/>
          <w:sz w:val="24"/>
          <w:szCs w:val="24"/>
        </w:rPr>
        <w:t>开投标</w:t>
      </w:r>
      <w:r>
        <w:rPr>
          <w:rFonts w:ascii="宋体" w:hAnsi="宋体" w:eastAsia="宋体" w:cs="宋体"/>
          <w:b/>
          <w:bCs/>
          <w:kern w:val="0"/>
          <w:sz w:val="24"/>
          <w:szCs w:val="24"/>
        </w:rPr>
        <w:t>场地的或被强制隔离等情况的，由当事人自行承担相关风险和责任。“江海南通”微信公众号</w:t>
      </w:r>
      <w:r>
        <w:rPr>
          <w:rFonts w:hint="eastAsia" w:ascii="宋体" w:hAnsi="宋体" w:eastAsia="宋体" w:cs="宋体"/>
          <w:b/>
          <w:bCs/>
          <w:kern w:val="0"/>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五、开启</w:t>
      </w:r>
      <w:r>
        <w:rPr>
          <w:rFonts w:hint="eastAsia" w:cs="宋体" w:asciiTheme="majorEastAsia" w:hAnsiTheme="majorEastAsia" w:eastAsiaTheme="majorEastAsia"/>
          <w:b/>
          <w:sz w:val="24"/>
          <w:szCs w:val="24"/>
          <w:lang w:eastAsia="zh-CN"/>
        </w:rPr>
        <w:t>响应文件</w:t>
      </w:r>
    </w:p>
    <w:p>
      <w:pPr>
        <w:widowControl/>
        <w:snapToGrid w:val="0"/>
        <w:spacing w:line="440" w:lineRule="exact"/>
        <w:ind w:firstLine="470" w:firstLineChars="196"/>
        <w:jc w:val="lef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1、时间：</w:t>
      </w:r>
      <w:r>
        <w:rPr>
          <w:rFonts w:hint="eastAsia" w:cs="宋体" w:asciiTheme="majorEastAsia" w:hAnsiTheme="majorEastAsia" w:eastAsiaTheme="majorEastAsia"/>
          <w:color w:val="000000" w:themeColor="text1"/>
          <w:sz w:val="24"/>
          <w:szCs w:val="24"/>
          <w:highlight w:val="none"/>
        </w:rPr>
        <w:t>2021年</w:t>
      </w:r>
      <w:r>
        <w:rPr>
          <w:rFonts w:hint="eastAsia" w:cs="宋体" w:asciiTheme="majorEastAsia" w:hAnsiTheme="majorEastAsia" w:eastAsiaTheme="majorEastAsia"/>
          <w:color w:val="000000" w:themeColor="text1"/>
          <w:sz w:val="24"/>
          <w:szCs w:val="24"/>
          <w:highlight w:val="none"/>
          <w:lang w:val="en-US" w:eastAsia="zh-CN"/>
        </w:rPr>
        <w:t>11</w:t>
      </w:r>
      <w:r>
        <w:rPr>
          <w:rFonts w:hint="eastAsia" w:cs="宋体" w:asciiTheme="majorEastAsia" w:hAnsiTheme="majorEastAsia" w:eastAsiaTheme="majorEastAsia"/>
          <w:color w:val="000000" w:themeColor="text1"/>
          <w:sz w:val="24"/>
          <w:szCs w:val="24"/>
          <w:highlight w:val="none"/>
        </w:rPr>
        <w:t>月</w:t>
      </w:r>
      <w:r>
        <w:rPr>
          <w:rFonts w:hint="eastAsia" w:cs="宋体" w:asciiTheme="majorEastAsia" w:hAnsiTheme="majorEastAsia" w:eastAsiaTheme="majorEastAsia"/>
          <w:color w:val="000000" w:themeColor="text1"/>
          <w:sz w:val="24"/>
          <w:szCs w:val="24"/>
          <w:highlight w:val="none"/>
          <w:lang w:val="en-US" w:eastAsia="zh-CN"/>
        </w:rPr>
        <w:t>23</w:t>
      </w:r>
      <w:r>
        <w:rPr>
          <w:rFonts w:hint="eastAsia" w:cs="宋体" w:asciiTheme="majorEastAsia" w:hAnsiTheme="majorEastAsia" w:eastAsiaTheme="majorEastAsia"/>
          <w:color w:val="000000" w:themeColor="text1"/>
          <w:sz w:val="24"/>
          <w:szCs w:val="24"/>
          <w:highlight w:val="none"/>
        </w:rPr>
        <w:t>日</w:t>
      </w:r>
      <w:r>
        <w:rPr>
          <w:rFonts w:hint="eastAsia" w:cs="宋体" w:asciiTheme="majorEastAsia" w:hAnsiTheme="majorEastAsia" w:eastAsiaTheme="majorEastAsia"/>
          <w:color w:val="000000" w:themeColor="text1"/>
          <w:sz w:val="24"/>
          <w:szCs w:val="24"/>
          <w:highlight w:val="none"/>
          <w:lang w:val="en-US" w:eastAsia="zh-CN"/>
        </w:rPr>
        <w:t>14</w:t>
      </w:r>
      <w:r>
        <w:rPr>
          <w:rFonts w:hint="eastAsia" w:cs="宋体" w:asciiTheme="majorEastAsia" w:hAnsiTheme="majorEastAsia" w:eastAsiaTheme="majorEastAsia"/>
          <w:color w:val="000000" w:themeColor="text1"/>
          <w:sz w:val="24"/>
          <w:szCs w:val="24"/>
          <w:highlight w:val="none"/>
        </w:rPr>
        <w:t>时</w:t>
      </w:r>
      <w:r>
        <w:rPr>
          <w:rFonts w:hint="eastAsia" w:cs="宋体" w:asciiTheme="majorEastAsia" w:hAnsiTheme="majorEastAsia" w:eastAsiaTheme="majorEastAsia"/>
          <w:color w:val="000000" w:themeColor="text1"/>
          <w:sz w:val="24"/>
          <w:szCs w:val="24"/>
          <w:highlight w:val="none"/>
          <w:lang w:val="en-US" w:eastAsia="zh-CN"/>
        </w:rPr>
        <w:t>30</w:t>
      </w:r>
      <w:r>
        <w:rPr>
          <w:rFonts w:hint="eastAsia" w:cs="宋体" w:asciiTheme="majorEastAsia" w:hAnsiTheme="majorEastAsia" w:eastAsiaTheme="majorEastAsia"/>
          <w:color w:val="000000" w:themeColor="text1"/>
          <w:sz w:val="24"/>
          <w:szCs w:val="24"/>
          <w:highlight w:val="none"/>
        </w:rPr>
        <w:t>分（北京时间）</w:t>
      </w:r>
      <w:r>
        <w:rPr>
          <w:rFonts w:hint="eastAsia" w:cs="宋体" w:asciiTheme="majorEastAsia" w:hAnsiTheme="majorEastAsia" w:eastAsiaTheme="majorEastAsia"/>
          <w:bCs/>
          <w:color w:val="000000" w:themeColor="text1"/>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rPr>
        <w:t>，如有变动另行通知。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b/>
          <w:sz w:val="24"/>
          <w:szCs w:val="24"/>
        </w:rPr>
        <w:t>、联系方式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名  称：</w:t>
      </w:r>
      <w:r>
        <w:rPr>
          <w:rFonts w:hint="eastAsia" w:cs="宋体" w:asciiTheme="majorEastAsia" w:hAnsiTheme="majorEastAsia" w:eastAsiaTheme="majorEastAsia"/>
          <w:sz w:val="24"/>
          <w:szCs w:val="24"/>
          <w:lang w:eastAsia="zh-CN"/>
        </w:rPr>
        <w:t>南通市妇幼保健院</w:t>
      </w:r>
    </w:p>
    <w:p>
      <w:pPr>
        <w:widowControl/>
        <w:snapToGrid w:val="0"/>
        <w:spacing w:line="440" w:lineRule="exact"/>
        <w:ind w:firstLine="470" w:firstLineChars="196"/>
        <w:jc w:val="left"/>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联系人</w:t>
      </w:r>
      <w:r>
        <w:rPr>
          <w:rFonts w:hint="eastAsia" w:cs="宋体" w:asciiTheme="majorEastAsia" w:hAnsiTheme="majorEastAsia" w:eastAsiaTheme="majorEastAsia"/>
          <w:sz w:val="24"/>
          <w:szCs w:val="24"/>
          <w:highlight w:val="none"/>
          <w:lang w:eastAsia="zh-CN"/>
        </w:rPr>
        <w:t>：张炳高</w:t>
      </w:r>
    </w:p>
    <w:p>
      <w:pPr>
        <w:widowControl/>
        <w:snapToGrid w:val="0"/>
        <w:spacing w:line="440" w:lineRule="exact"/>
        <w:ind w:firstLine="470" w:firstLineChars="196"/>
        <w:jc w:val="left"/>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联系电话：</w:t>
      </w:r>
      <w:r>
        <w:rPr>
          <w:rFonts w:hint="eastAsia" w:cs="宋体" w:asciiTheme="majorEastAsia" w:hAnsiTheme="majorEastAsia" w:eastAsiaTheme="majorEastAsia"/>
          <w:sz w:val="24"/>
          <w:szCs w:val="24"/>
          <w:highlight w:val="none"/>
          <w:lang w:val="en-US" w:eastAsia="zh-CN"/>
        </w:rPr>
        <w:t>13962958761</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址：南通市世纪大道58号恒隆国际大厦A座701室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联系人：毛</w:t>
      </w:r>
      <w:r>
        <w:rPr>
          <w:rFonts w:hint="eastAsia" w:cs="宋体" w:asciiTheme="majorEastAsia" w:hAnsiTheme="majorEastAsia" w:eastAsiaTheme="majorEastAsia"/>
          <w:sz w:val="24"/>
          <w:szCs w:val="24"/>
          <w:lang w:eastAsia="zh-CN"/>
        </w:rPr>
        <w:t>琴</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w:t>
      </w:r>
      <w:bookmarkStart w:id="14" w:name="_GoBack"/>
      <w:bookmarkEnd w:id="14"/>
      <w:r>
        <w:rPr>
          <w:rFonts w:hint="eastAsia" w:asciiTheme="majorEastAsia" w:hAnsiTheme="majorEastAsia" w:eastAsiaTheme="majorEastAsia" w:cstheme="minorEastAsia"/>
          <w:sz w:val="24"/>
          <w:szCs w:val="24"/>
        </w:rPr>
        <w:t>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4、补充说明、澄清或修改的内容可能影响到磋商响应文件编制，采购代理机构将在首次提交磋商响应文件截止日3天前，发布补充说明、澄清或修改公告。不足3日的，应当顺延首次提交磋商响应文件截止之日。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sz w:val="24"/>
          <w:szCs w:val="24"/>
        </w:rPr>
        <w:t>磋商</w:t>
      </w:r>
      <w:r>
        <w:rPr>
          <w:rFonts w:hint="eastAsia" w:ascii="宋体" w:hAnsi="宋体" w:eastAsia="宋体" w:cs="宋体"/>
          <w:b w:val="0"/>
          <w:bCs w:val="0"/>
          <w:sz w:val="24"/>
          <w:szCs w:val="24"/>
          <w:lang w:eastAsia="zh-CN"/>
        </w:rPr>
        <w:t>响应</w:t>
      </w:r>
      <w:r>
        <w:rPr>
          <w:rFonts w:hint="eastAsia" w:ascii="宋体" w:hAnsi="宋体" w:eastAsia="宋体" w:cs="宋体"/>
          <w:b w:val="0"/>
          <w:bCs w:val="0"/>
          <w:sz w:val="24"/>
          <w:szCs w:val="24"/>
        </w:rPr>
        <w:t>报价应</w:t>
      </w:r>
      <w:r>
        <w:rPr>
          <w:rFonts w:hint="eastAsia" w:ascii="宋体" w:hAnsi="宋体" w:eastAsia="宋体" w:cs="宋体"/>
          <w:b w:val="0"/>
          <w:bCs w:val="0"/>
          <w:sz w:val="24"/>
          <w:szCs w:val="24"/>
          <w:lang w:eastAsia="zh-CN"/>
        </w:rPr>
        <w:t>包括但不限于</w:t>
      </w:r>
      <w:r>
        <w:rPr>
          <w:rFonts w:hint="eastAsia" w:ascii="宋体" w:hAnsi="宋体" w:eastAsia="宋体" w:cs="宋体"/>
          <w:b w:val="0"/>
          <w:bCs w:val="0"/>
          <w:sz w:val="24"/>
          <w:szCs w:val="24"/>
        </w:rPr>
        <w:t>：货物、</w:t>
      </w:r>
      <w:r>
        <w:rPr>
          <w:rFonts w:hint="eastAsia" w:ascii="宋体" w:hAnsi="宋体" w:eastAsia="宋体" w:cs="宋体"/>
          <w:b w:val="0"/>
          <w:bCs w:val="0"/>
          <w:sz w:val="24"/>
          <w:szCs w:val="24"/>
          <w:lang w:eastAsia="zh-CN"/>
        </w:rPr>
        <w:t>储存、</w:t>
      </w:r>
      <w:r>
        <w:rPr>
          <w:rFonts w:hint="eastAsia" w:ascii="宋体" w:hAnsi="宋体" w:eastAsia="宋体" w:cs="宋体"/>
          <w:b w:val="0"/>
          <w:bCs w:val="0"/>
          <w:sz w:val="24"/>
          <w:szCs w:val="24"/>
        </w:rPr>
        <w:t>运输、售后服务、</w:t>
      </w:r>
      <w:r>
        <w:rPr>
          <w:rFonts w:hint="eastAsia" w:ascii="宋体" w:hAnsi="宋体" w:eastAsia="宋体" w:cs="宋体"/>
          <w:b w:val="0"/>
          <w:bCs w:val="0"/>
          <w:sz w:val="24"/>
          <w:szCs w:val="24"/>
          <w:lang w:eastAsia="zh-CN"/>
        </w:rPr>
        <w:t>管理、</w:t>
      </w:r>
      <w:r>
        <w:rPr>
          <w:rFonts w:hint="eastAsia" w:ascii="宋体" w:hAnsi="宋体" w:eastAsia="宋体" w:cs="宋体"/>
          <w:b w:val="0"/>
          <w:bCs w:val="0"/>
          <w:sz w:val="24"/>
          <w:szCs w:val="24"/>
        </w:rPr>
        <w:t>税金等</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rPr>
        <w:t>完成本</w:t>
      </w:r>
      <w:r>
        <w:rPr>
          <w:rFonts w:hint="eastAsia" w:ascii="宋体" w:hAnsi="宋体" w:eastAsia="宋体" w:cs="宋体"/>
          <w:b w:val="0"/>
          <w:bCs w:val="0"/>
          <w:sz w:val="24"/>
          <w:szCs w:val="24"/>
          <w:lang w:eastAsia="zh-CN"/>
        </w:rPr>
        <w:t>项目采购需求</w:t>
      </w:r>
      <w:r>
        <w:rPr>
          <w:rFonts w:hint="eastAsia" w:ascii="宋体" w:hAnsi="宋体" w:eastAsia="宋体" w:cs="宋体"/>
          <w:b w:val="0"/>
          <w:bCs w:val="0"/>
          <w:sz w:val="24"/>
          <w:szCs w:val="24"/>
        </w:rPr>
        <w:t>所发生的全部费用</w:t>
      </w:r>
      <w:r>
        <w:rPr>
          <w:rFonts w:hint="eastAsia" w:ascii="宋体" w:hAnsi="宋体" w:eastAsia="宋体" w:cs="宋体"/>
          <w:b w:val="0"/>
          <w:bCs w:val="0"/>
          <w:sz w:val="24"/>
          <w:szCs w:val="24"/>
          <w:lang w:eastAsia="zh-CN"/>
        </w:rPr>
        <w:t>，</w:t>
      </w:r>
      <w:r>
        <w:rPr>
          <w:rFonts w:hint="eastAsia" w:ascii="宋体" w:hAnsi="宋体" w:eastAsia="宋体" w:cs="宋体"/>
          <w:b/>
          <w:bCs/>
          <w:color w:val="auto"/>
          <w:sz w:val="24"/>
          <w:szCs w:val="24"/>
          <w:lang w:eastAsia="zh-CN"/>
        </w:rPr>
        <w:t>供应商另须为采购人原有的罐体（含附件）、报警管道、管道终端、检验阀等医用气体系统设备提供免费的维护保养（产生的材料费需报采购人经认可按实结算），采购人不再承担供应商一次性报价之外的其他任何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、供应商须按</w:t>
      </w:r>
      <w:r>
        <w:rPr>
          <w:rFonts w:hint="eastAsia" w:ascii="宋体" w:hAnsi="宋体" w:eastAsia="宋体" w:cs="宋体"/>
          <w:sz w:val="24"/>
          <w:szCs w:val="24"/>
          <w:lang w:eastAsia="zh-CN"/>
        </w:rPr>
        <w:t>竞争性磋商</w:t>
      </w:r>
      <w:r>
        <w:rPr>
          <w:rFonts w:hint="eastAsia" w:ascii="宋体" w:hAnsi="宋体" w:eastAsia="宋体" w:cs="宋体"/>
          <w:sz w:val="24"/>
          <w:szCs w:val="24"/>
        </w:rPr>
        <w:t>文件要求填报综合单价（含税</w:t>
      </w:r>
      <w:r>
        <w:rPr>
          <w:rFonts w:hint="eastAsia" w:ascii="宋体" w:hAnsi="宋体" w:eastAsia="宋体" w:cs="宋体"/>
          <w:sz w:val="24"/>
          <w:szCs w:val="24"/>
          <w:lang w:eastAsia="zh-CN"/>
        </w:rPr>
        <w:t>金</w:t>
      </w:r>
      <w:r>
        <w:rPr>
          <w:rFonts w:hint="eastAsia" w:ascii="宋体" w:hAnsi="宋体" w:eastAsia="宋体" w:cs="宋体"/>
          <w:sz w:val="24"/>
          <w:szCs w:val="24"/>
        </w:rPr>
        <w:t>、运费</w:t>
      </w:r>
      <w:r>
        <w:rPr>
          <w:rFonts w:hint="eastAsia" w:ascii="宋体" w:hAnsi="宋体" w:eastAsia="宋体" w:cs="宋体"/>
          <w:sz w:val="24"/>
          <w:szCs w:val="24"/>
          <w:lang w:eastAsia="zh-CN"/>
        </w:rPr>
        <w:t>、售后服务</w:t>
      </w:r>
      <w:r>
        <w:rPr>
          <w:rFonts w:hint="eastAsia" w:ascii="宋体" w:hAnsi="宋体" w:eastAsia="宋体" w:cs="宋体"/>
          <w:sz w:val="24"/>
          <w:szCs w:val="24"/>
        </w:rPr>
        <w:t>等）</w:t>
      </w:r>
      <w:r>
        <w:rPr>
          <w:rFonts w:hint="eastAsia" w:ascii="宋体" w:hAnsi="宋体" w:eastAsia="宋体" w:cs="宋体"/>
          <w:sz w:val="24"/>
          <w:szCs w:val="24"/>
          <w:lang w:eastAsia="zh-CN"/>
        </w:rPr>
        <w:t>，中标后合同履行期间按采购人实际购置量结算费用，中标综合单价将不作调整。</w:t>
      </w:r>
      <w:r>
        <w:rPr>
          <w:rFonts w:hint="eastAsia" w:ascii="宋体" w:hAnsi="宋体" w:eastAsia="宋体" w:cs="宋体"/>
          <w:sz w:val="24"/>
          <w:szCs w:val="24"/>
        </w:rPr>
        <w:t>同时，供应商的</w:t>
      </w:r>
      <w:r>
        <w:rPr>
          <w:rFonts w:hint="eastAsia" w:ascii="宋体" w:hAnsi="宋体" w:eastAsia="宋体" w:cs="宋体"/>
          <w:sz w:val="24"/>
          <w:szCs w:val="24"/>
          <w:lang w:eastAsia="zh-CN"/>
        </w:rPr>
        <w:t>最终</w:t>
      </w:r>
      <w:r>
        <w:rPr>
          <w:rFonts w:hint="eastAsia" w:ascii="宋体" w:hAnsi="宋体" w:eastAsia="宋体" w:cs="宋体"/>
          <w:sz w:val="24"/>
          <w:szCs w:val="24"/>
        </w:rPr>
        <w:t>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1、供应商应承担其编制响应文件以及递交响应文件所涉及的一切费用。无论磋商结果如何，采购人对上述费用不负任何责任。</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2、磋商文件及相关资料费300元/份，由供应商在递交响应文件时缴纳，售后不退。</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3、本次磋商采购代理服务费人民币1200元，供应商须综合考虑在响应报价内，由成交供应商在领取成交通知书时向采购代理机构一次性付清。</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八、履约保证金</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1、本项目成交后的履约保证金为中标总价的10%。</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2、中标供应商在领取中标通知书后应按竞磋文件规定的金额缴纳履约保证金，且10日内与采购人签订合同。超期或未有协商，则视为自动放弃成交资格。</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3、中标供应商在按要求保质保量的完成该项目合同并通过验收后，采购人凭中标供应商提交的申请，</w:t>
      </w:r>
      <w:r>
        <w:rPr>
          <w:rFonts w:hint="eastAsia" w:ascii="宋体" w:hAnsi="宋体" w:eastAsia="宋体" w:cs="宋体"/>
          <w:sz w:val="24"/>
          <w:szCs w:val="24"/>
          <w:lang w:val="en-US" w:eastAsia="zh-CN"/>
        </w:rPr>
        <w:t>10个工作日内</w:t>
      </w:r>
      <w:r>
        <w:rPr>
          <w:rFonts w:hint="eastAsia" w:ascii="宋体" w:hAnsi="宋体" w:eastAsia="宋体" w:cs="宋体"/>
          <w:sz w:val="24"/>
          <w:szCs w:val="24"/>
          <w:lang w:val="zh-CN" w:eastAsia="zh-CN"/>
        </w:rPr>
        <w:t>一次性无息退还该合同项目的履约保证金。</w:t>
      </w:r>
    </w:p>
    <w:p>
      <w:pPr>
        <w:spacing w:line="52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sz w:val="24"/>
          <w:szCs w:val="24"/>
          <w:lang w:val="zh-CN" w:eastAsia="zh-CN"/>
        </w:rPr>
        <w:t>4、</w:t>
      </w:r>
      <w:r>
        <w:rPr>
          <w:rFonts w:hint="eastAsia" w:ascii="宋体" w:hAnsi="宋体" w:eastAsia="宋体" w:cs="宋体"/>
          <w:color w:val="auto"/>
          <w:sz w:val="24"/>
          <w:szCs w:val="24"/>
          <w:lang w:val="zh-CN" w:eastAsia="zh-CN"/>
        </w:rPr>
        <w:t>由于中标供应商原因，在签订合同后出现不按合同或项目需求履行的情况，采购单位有权将履约保证金作为违约金，全额不予退还，同时采购单位亦有权终止合同，中标供应商还须承担相应的法律赔偿责任。合同履行期间由于供应商的责任违反《服务考核表》相关条款，采购人有权从履约保证金中扣除相应款项（考核内容见合同附件）。</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九、未尽事宜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8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pPr>
        <w:numPr>
          <w:ilvl w:val="-1"/>
          <w:numId w:val="0"/>
        </w:numPr>
        <w:spacing w:line="480" w:lineRule="exact"/>
        <w:ind w:firstLine="482" w:firstLineChars="200"/>
        <w:rPr>
          <w:rFonts w:hint="eastAsia" w:ascii="宋体" w:hAnsi="宋体" w:eastAsia="宋体"/>
          <w:b/>
          <w:bCs/>
          <w:sz w:val="24"/>
          <w:szCs w:val="24"/>
          <w:lang w:val="zh-CN"/>
        </w:rPr>
      </w:pPr>
      <w:bookmarkStart w:id="5" w:name="_Toc13642116"/>
      <w:r>
        <w:rPr>
          <w:rFonts w:hint="eastAsia" w:ascii="宋体" w:hAnsi="宋体" w:eastAsia="宋体"/>
          <w:b/>
          <w:bCs/>
          <w:sz w:val="24"/>
          <w:szCs w:val="24"/>
          <w:lang w:val="zh-CN"/>
        </w:rPr>
        <w:t>一、项目概况</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项目名称：</w:t>
      </w:r>
      <w:r>
        <w:rPr>
          <w:rFonts w:hint="eastAsia" w:cs="宋体" w:asciiTheme="majorEastAsia" w:hAnsiTheme="majorEastAsia" w:eastAsiaTheme="majorEastAsia"/>
          <w:sz w:val="24"/>
          <w:szCs w:val="24"/>
        </w:rPr>
        <w:t>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r>
        <w:rPr>
          <w:rFonts w:hint="eastAsia" w:ascii="宋体" w:hAnsi="宋体" w:eastAsia="宋体"/>
          <w:b w:val="0"/>
          <w:bCs w:val="0"/>
          <w:sz w:val="24"/>
          <w:szCs w:val="24"/>
          <w:lang w:val="zh-CN"/>
        </w:rPr>
        <w:t>。</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服务周期：1年，自合同签订之日起计。</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二、对供应商配送服务要求</w:t>
      </w:r>
    </w:p>
    <w:p>
      <w:pPr>
        <w:numPr>
          <w:ilvl w:val="-1"/>
          <w:numId w:val="0"/>
        </w:numPr>
        <w:spacing w:line="480" w:lineRule="exact"/>
        <w:ind w:firstLine="480" w:firstLineChars="200"/>
        <w:rPr>
          <w:rFonts w:hint="eastAsia" w:ascii="宋体" w:hAnsi="宋体" w:eastAsia="宋体"/>
          <w:b/>
          <w:bCs/>
          <w:sz w:val="24"/>
          <w:szCs w:val="24"/>
          <w:lang w:val="zh-CN" w:eastAsia="zh-CN"/>
        </w:rPr>
      </w:pPr>
      <w:r>
        <w:rPr>
          <w:rFonts w:hint="eastAsia" w:ascii="宋体" w:hAnsi="宋体" w:eastAsia="宋体"/>
          <w:b w:val="0"/>
          <w:bCs w:val="0"/>
          <w:color w:val="auto"/>
          <w:sz w:val="24"/>
          <w:szCs w:val="24"/>
          <w:lang w:val="zh-CN"/>
        </w:rPr>
        <w:t>供应商若无医用气配送运输资质，应与有医用气配送资质的运输单位就本项目签订运输合作协议。投标人在签订合同之前须提供上述事项的合作意向协议，并提供运输合作方的相关证明材料：</w:t>
      </w:r>
      <w:r>
        <w:rPr>
          <w:rFonts w:hint="eastAsia" w:ascii="宋体" w:hAnsi="宋体" w:eastAsia="宋体"/>
          <w:b w:val="0"/>
          <w:bCs w:val="0"/>
          <w:color w:val="auto"/>
          <w:sz w:val="24"/>
          <w:szCs w:val="24"/>
          <w:lang w:val="zh-CN" w:eastAsia="zh-CN"/>
        </w:rPr>
        <w:t>运输单位具备《道路运输经营许可证》，</w:t>
      </w:r>
      <w:r>
        <w:rPr>
          <w:rFonts w:hint="eastAsia" w:ascii="宋体" w:hAnsi="宋体" w:eastAsia="宋体"/>
          <w:b w:val="0"/>
          <w:bCs w:val="0"/>
          <w:color w:val="auto"/>
          <w:sz w:val="24"/>
          <w:szCs w:val="24"/>
          <w:lang w:val="zh-CN"/>
        </w:rPr>
        <w:t>车辆驾驶员和押运员要有安监局及技监局颁发的有效的上岗证等。</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三、医用气体购置清单</w:t>
      </w:r>
    </w:p>
    <w:tbl>
      <w:tblPr>
        <w:tblStyle w:val="57"/>
        <w:tblW w:w="8616" w:type="dxa"/>
        <w:jc w:val="center"/>
        <w:tblLayout w:type="fixed"/>
        <w:tblCellMar>
          <w:top w:w="15" w:type="dxa"/>
          <w:left w:w="15" w:type="dxa"/>
          <w:bottom w:w="15" w:type="dxa"/>
          <w:right w:w="15" w:type="dxa"/>
        </w:tblCellMar>
      </w:tblPr>
      <w:tblGrid>
        <w:gridCol w:w="1340"/>
        <w:gridCol w:w="2089"/>
        <w:gridCol w:w="1380"/>
        <w:gridCol w:w="2340"/>
        <w:gridCol w:w="1467"/>
      </w:tblGrid>
      <w:tr>
        <w:tblPrEx>
          <w:tblCellMar>
            <w:top w:w="15" w:type="dxa"/>
            <w:left w:w="15" w:type="dxa"/>
            <w:bottom w:w="15" w:type="dxa"/>
            <w:right w:w="15" w:type="dxa"/>
          </w:tblCellMar>
        </w:tblPrEx>
        <w:trPr>
          <w:trHeight w:val="673" w:hRule="atLeast"/>
          <w:jc w:val="center"/>
        </w:trPr>
        <w:tc>
          <w:tcPr>
            <w:tcW w:w="8616" w:type="dxa"/>
            <w:gridSpan w:val="5"/>
            <w:noWrap w:val="0"/>
            <w:vAlign w:val="center"/>
          </w:tcPr>
          <w:p>
            <w:pPr>
              <w:widowControl/>
              <w:jc w:val="center"/>
              <w:textAlignment w:val="center"/>
              <w:rPr>
                <w:rFonts w:hint="eastAsia" w:ascii="方正粗黑宋简体" w:hAnsi="方正粗黑宋简体" w:eastAsia="方正粗黑宋简体" w:cs="方正粗黑宋简体"/>
                <w:color w:val="000000"/>
                <w:sz w:val="32"/>
                <w:szCs w:val="32"/>
                <w:lang w:eastAsia="zh-CN"/>
              </w:rPr>
            </w:pPr>
            <w:r>
              <w:rPr>
                <w:rFonts w:hint="eastAsia" w:ascii="方正粗黑宋简体" w:hAnsi="方正粗黑宋简体" w:eastAsia="方正粗黑宋简体" w:cs="方正粗黑宋简体"/>
                <w:color w:val="000000"/>
                <w:kern w:val="0"/>
                <w:sz w:val="28"/>
                <w:szCs w:val="28"/>
                <w:lang w:bidi="ar"/>
              </w:rPr>
              <w:t>20</w:t>
            </w:r>
            <w:r>
              <w:rPr>
                <w:rFonts w:hint="eastAsia" w:ascii="方正粗黑宋简体" w:hAnsi="方正粗黑宋简体" w:eastAsia="方正粗黑宋简体" w:cs="方正粗黑宋简体"/>
                <w:color w:val="000000"/>
                <w:kern w:val="0"/>
                <w:sz w:val="28"/>
                <w:szCs w:val="28"/>
                <w:lang w:val="en-US" w:eastAsia="zh-CN" w:bidi="ar"/>
              </w:rPr>
              <w:t>21</w:t>
            </w:r>
            <w:r>
              <w:rPr>
                <w:rFonts w:hint="eastAsia" w:ascii="方正粗黑宋简体" w:hAnsi="方正粗黑宋简体" w:eastAsia="方正粗黑宋简体" w:cs="方正粗黑宋简体"/>
                <w:color w:val="000000"/>
                <w:kern w:val="0"/>
                <w:sz w:val="28"/>
                <w:szCs w:val="28"/>
                <w:lang w:bidi="ar"/>
              </w:rPr>
              <w:t>-202</w:t>
            </w:r>
            <w:r>
              <w:rPr>
                <w:rFonts w:hint="eastAsia" w:ascii="方正粗黑宋简体" w:hAnsi="方正粗黑宋简体" w:eastAsia="方正粗黑宋简体" w:cs="方正粗黑宋简体"/>
                <w:color w:val="000000"/>
                <w:kern w:val="0"/>
                <w:sz w:val="28"/>
                <w:szCs w:val="28"/>
                <w:lang w:val="en-US" w:eastAsia="zh-CN" w:bidi="ar"/>
              </w:rPr>
              <w:t>2</w:t>
            </w:r>
            <w:r>
              <w:rPr>
                <w:rFonts w:hint="eastAsia" w:ascii="方正粗黑宋简体" w:hAnsi="方正粗黑宋简体" w:eastAsia="方正粗黑宋简体" w:cs="方正粗黑宋简体"/>
                <w:color w:val="000000"/>
                <w:kern w:val="0"/>
                <w:sz w:val="28"/>
                <w:szCs w:val="28"/>
                <w:lang w:bidi="ar"/>
              </w:rPr>
              <w:t>年南通市妇幼保健院医用气采购</w:t>
            </w:r>
            <w:r>
              <w:rPr>
                <w:rFonts w:hint="eastAsia" w:ascii="方正粗黑宋简体" w:hAnsi="方正粗黑宋简体" w:eastAsia="方正粗黑宋简体" w:cs="方正粗黑宋简体"/>
                <w:color w:val="000000"/>
                <w:kern w:val="0"/>
                <w:sz w:val="28"/>
                <w:szCs w:val="28"/>
                <w:lang w:eastAsia="zh-CN" w:bidi="ar"/>
              </w:rPr>
              <w:t>清单</w:t>
            </w:r>
          </w:p>
        </w:tc>
      </w:tr>
      <w:tr>
        <w:tblPrEx>
          <w:tblCellMar>
            <w:top w:w="15" w:type="dxa"/>
            <w:left w:w="15" w:type="dxa"/>
            <w:bottom w:w="15" w:type="dxa"/>
            <w:right w:w="15" w:type="dxa"/>
          </w:tblCellMar>
        </w:tblPrEx>
        <w:trPr>
          <w:trHeight w:val="757" w:hRule="atLeast"/>
          <w:jc w:val="center"/>
        </w:trPr>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类别</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eastAsia="zh-CN" w:bidi="ar"/>
              </w:rPr>
              <w:t>品名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单位（规格）</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lang w:eastAsia="zh-CN"/>
              </w:rPr>
            </w:pPr>
            <w:r>
              <w:rPr>
                <w:rFonts w:hint="eastAsia" w:ascii="宋体" w:hAnsi="宋体" w:eastAsia="宋体" w:cs="宋体"/>
                <w:b/>
                <w:bCs/>
                <w:color w:val="000000"/>
                <w:kern w:val="0"/>
                <w:sz w:val="22"/>
                <w:szCs w:val="22"/>
                <w:lang w:bidi="ar"/>
              </w:rPr>
              <w:t>数量</w:t>
            </w:r>
            <w:r>
              <w:rPr>
                <w:rFonts w:hint="eastAsia" w:ascii="宋体" w:hAnsi="宋体" w:eastAsia="宋体" w:cs="宋体"/>
                <w:b/>
                <w:bCs/>
                <w:color w:val="000000"/>
                <w:kern w:val="0"/>
                <w:sz w:val="22"/>
                <w:szCs w:val="22"/>
                <w:lang w:eastAsia="zh-CN" w:bidi="ar"/>
              </w:rPr>
              <w:t>（预估）</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化学药品制剂</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医用液氧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szCs w:val="22"/>
                <w:lang w:bidi="ar"/>
              </w:rPr>
              <w:t>吨</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4"/>
                <w:szCs w:val="24"/>
                <w:lang w:bidi="ar"/>
              </w:rPr>
              <w:t>O</w:t>
            </w:r>
            <w:r>
              <w:rPr>
                <w:rFonts w:hint="eastAsia" w:ascii="宋体" w:hAnsi="宋体" w:eastAsia="宋体" w:cs="宋体"/>
                <w:color w:val="000000"/>
                <w:kern w:val="0"/>
                <w:sz w:val="16"/>
                <w:szCs w:val="16"/>
                <w:lang w:bidi="ar"/>
              </w:rPr>
              <w:t>2</w:t>
            </w:r>
            <w:r>
              <w:rPr>
                <w:rFonts w:hint="eastAsia" w:ascii="宋体" w:hAnsi="宋体" w:eastAsia="宋体" w:cs="宋体"/>
                <w:color w:val="000000"/>
                <w:kern w:val="0"/>
                <w:sz w:val="20"/>
                <w:lang w:bidi="ar"/>
              </w:rPr>
              <w:t>≥99.6％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108</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P12（大瓶）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P12±0.5MPa</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34</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sz w:val="22"/>
                <w:szCs w:val="22"/>
                <w:lang w:val="en-US" w:eastAsia="zh-CN"/>
              </w:rPr>
              <w:t>小瓶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143</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基础化学品</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液氮</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升</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2940</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P12±0.5MPa</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r>
              <w:rPr>
                <w:rFonts w:hint="eastAsia" w:ascii="宋体" w:hAnsi="宋体" w:eastAsia="宋体" w:cs="宋体"/>
                <w:color w:val="000000"/>
                <w:kern w:val="0"/>
                <w:sz w:val="22"/>
                <w:szCs w:val="22"/>
                <w:lang w:val="en-US" w:eastAsia="zh-CN" w:bidi="ar"/>
              </w:rPr>
              <w:t>9</w:t>
            </w:r>
            <w:r>
              <w:rPr>
                <w:rFonts w:hint="eastAsia" w:ascii="宋体" w:hAnsi="宋体" w:eastAsia="宋体" w:cs="宋体"/>
                <w:color w:val="000000"/>
                <w:kern w:val="0"/>
                <w:sz w:val="22"/>
                <w:szCs w:val="22"/>
                <w:lang w:bidi="ar"/>
              </w:rPr>
              <w:t>％</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77</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以食品为原料高纯二氧化碳</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W22±1Kg；≥99.999％</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252</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高纯乙炔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eastAsia="zh-CN"/>
              </w:rPr>
            </w:pPr>
          </w:p>
          <w:p>
            <w:pPr>
              <w:pStyle w:val="2"/>
              <w:rPr>
                <w:rFonts w:hint="eastAsia"/>
                <w:lang w:eastAsia="zh-CN"/>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楷体_GB2312"/>
                <w:lang w:eastAsia="zh-CN"/>
              </w:rPr>
            </w:pPr>
            <w:r>
              <w:rPr>
                <w:rFonts w:hint="eastAsia" w:ascii="宋体" w:hAnsi="宋体" w:eastAsia="宋体" w:cs="宋体"/>
                <w:color w:val="000000"/>
                <w:kern w:val="0"/>
                <w:sz w:val="22"/>
                <w:szCs w:val="22"/>
                <w:lang w:val="en-US" w:eastAsia="zh-CN" w:bidi="ar"/>
              </w:rPr>
              <w:t>6</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高纯氩气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Ar≥99.99％</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1</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预混气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default" w:ascii="宋体" w:hAnsi="宋体" w:eastAsia="宋体" w:cs="宋体"/>
                <w:color w:val="000000"/>
                <w:sz w:val="21"/>
                <w:szCs w:val="21"/>
                <w:highlight w:val="none"/>
              </w:rPr>
              <w:t>氮气</w:t>
            </w:r>
            <w:r>
              <w:rPr>
                <w:rFonts w:hint="eastAsia" w:ascii="宋体" w:hAnsi="宋体" w:eastAsia="宋体" w:cs="宋体"/>
                <w:color w:val="000000"/>
                <w:kern w:val="0"/>
                <w:sz w:val="22"/>
                <w:szCs w:val="22"/>
                <w:lang w:bidi="ar"/>
              </w:rPr>
              <w:t>9</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w:t>
            </w:r>
            <w:r>
              <w:rPr>
                <w:rFonts w:hint="default" w:ascii="宋体" w:hAnsi="宋体" w:eastAsia="宋体" w:cs="宋体"/>
                <w:color w:val="000000"/>
                <w:kern w:val="0"/>
                <w:sz w:val="22"/>
                <w:szCs w:val="22"/>
                <w:lang w:bidi="ar"/>
              </w:rPr>
              <w:t>+二氧化碳5%</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default" w:ascii="宋体" w:hAnsi="宋体" w:eastAsia="宋体" w:cs="宋体"/>
                <w:color w:val="000000"/>
                <w:kern w:val="0"/>
                <w:sz w:val="22"/>
                <w:szCs w:val="22"/>
                <w:lang w:val="en-US" w:eastAsia="zh-CN" w:bidi="ar"/>
              </w:rPr>
              <w:t>8</w:t>
            </w:r>
          </w:p>
        </w:tc>
      </w:tr>
    </w:tbl>
    <w:p>
      <w:pPr>
        <w:numPr>
          <w:ilvl w:val="-1"/>
          <w:numId w:val="0"/>
        </w:numPr>
        <w:spacing w:line="480" w:lineRule="exact"/>
        <w:ind w:firstLine="482" w:firstLineChars="200"/>
        <w:rPr>
          <w:rFonts w:hint="eastAsia" w:ascii="宋体" w:hAnsi="宋体" w:eastAsia="宋体"/>
          <w:b/>
          <w:bCs/>
          <w:sz w:val="24"/>
          <w:szCs w:val="24"/>
          <w:lang w:val="zh-CN"/>
        </w:rPr>
      </w:pP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四、质量要求</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1、成交供应商所配送气体质量须符合国家GB17820-1999标准要求，液氧纯度≥99.6％，其他医用气质量均不得低于采购文件要求的质量标准。</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2、成交供应商配送服务时须随车出具医用液态氧气合格证书。如医用液态氧气等医用气及成交供应商提供的其他气体出现任何质量问题，</w:t>
      </w:r>
      <w:r>
        <w:rPr>
          <w:rFonts w:hint="eastAsia" w:ascii="宋体" w:hAnsi="宋体" w:eastAsia="宋体"/>
          <w:b w:val="0"/>
          <w:bCs w:val="0"/>
          <w:sz w:val="24"/>
          <w:szCs w:val="24"/>
          <w:lang w:val="en-US" w:eastAsia="zh-CN"/>
        </w:rPr>
        <w:t>由此导致使用者（住院、门诊患者）受到伤害，以及医院检验和实验中发生不可挽回的损失，</w:t>
      </w:r>
      <w:r>
        <w:rPr>
          <w:rFonts w:hint="eastAsia" w:ascii="宋体" w:hAnsi="宋体" w:eastAsia="宋体"/>
          <w:b w:val="0"/>
          <w:bCs w:val="0"/>
          <w:sz w:val="24"/>
          <w:szCs w:val="24"/>
          <w:lang w:val="zh-CN"/>
        </w:rPr>
        <w:t>供应商负全部责任。</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五、配送服务要求</w:t>
      </w:r>
    </w:p>
    <w:p>
      <w:pPr>
        <w:numPr>
          <w:ilvl w:val="-1"/>
          <w:numId w:val="0"/>
        </w:numPr>
        <w:spacing w:line="480" w:lineRule="exact"/>
        <w:ind w:firstLine="480" w:firstLineChars="200"/>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sz w:val="24"/>
          <w:szCs w:val="24"/>
          <w:lang w:val="en-US" w:eastAsia="zh-CN"/>
        </w:rPr>
        <w:t>1、</w:t>
      </w:r>
      <w:r>
        <w:rPr>
          <w:rFonts w:hint="eastAsia" w:ascii="宋体" w:hAnsi="宋体" w:eastAsia="宋体"/>
          <w:b w:val="0"/>
          <w:bCs w:val="0"/>
          <w:sz w:val="24"/>
          <w:szCs w:val="24"/>
          <w:lang w:val="zh-CN" w:eastAsia="zh-CN"/>
        </w:rPr>
        <w:t>成交供应商须按照采购人时间要求及时提供</w:t>
      </w:r>
      <w:r>
        <w:rPr>
          <w:rFonts w:hint="eastAsia" w:ascii="宋体" w:hAnsi="宋体" w:eastAsia="宋体"/>
          <w:b w:val="0"/>
          <w:bCs w:val="0"/>
          <w:color w:val="auto"/>
          <w:sz w:val="24"/>
          <w:szCs w:val="24"/>
          <w:highlight w:val="none"/>
          <w:lang w:val="zh-CN" w:eastAsia="zh-CN"/>
        </w:rPr>
        <w:t>配送服务；医用液氧须在</w:t>
      </w:r>
      <w:r>
        <w:rPr>
          <w:rFonts w:hint="eastAsia" w:ascii="宋体" w:hAnsi="宋体" w:eastAsia="宋体"/>
          <w:b w:val="0"/>
          <w:bCs w:val="0"/>
          <w:color w:val="auto"/>
          <w:sz w:val="24"/>
          <w:szCs w:val="24"/>
          <w:highlight w:val="none"/>
          <w:lang w:val="en-US" w:eastAsia="zh-CN"/>
        </w:rPr>
        <w:t>3天内，其他特殊气体须在4小时内送达指定场地，如延迟送货，采购人可随时解除合同并可追究供应商责任。</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color w:val="auto"/>
          <w:sz w:val="24"/>
          <w:szCs w:val="24"/>
          <w:highlight w:val="none"/>
          <w:lang w:val="zh-CN" w:eastAsia="zh-CN"/>
        </w:rPr>
        <w:t>2、成交供应商承诺，接受采购人约定的货物接受计</w:t>
      </w:r>
      <w:r>
        <w:rPr>
          <w:rFonts w:hint="eastAsia" w:ascii="宋体" w:hAnsi="宋体" w:eastAsia="宋体"/>
          <w:b w:val="0"/>
          <w:bCs w:val="0"/>
          <w:sz w:val="24"/>
          <w:szCs w:val="24"/>
          <w:lang w:val="zh-CN" w:eastAsia="zh-CN"/>
        </w:rPr>
        <w:t>量方式，具体内容在签订合同时予以明确。</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sz w:val="24"/>
          <w:szCs w:val="24"/>
          <w:lang w:val="zh-CN" w:eastAsia="zh-CN"/>
        </w:rPr>
        <w:t>3、因供应商原因导致不能满足采购人医用气正常使用需求的，采购人可以采取必要的临时措施，包括向其他供应商购买医用气。由此产生的费用和损失由成交供应商承担。</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zh-CN" w:eastAsia="zh-CN"/>
        </w:rPr>
        <w:t>4、成交供应商在配送服务过程中，有责任和义务协助采购人做好对医院储罐设备完好性巡查，及时发现和排除安全隐患，确保医院气储存、使用等环节的安全。</w:t>
      </w:r>
    </w:p>
    <w:p>
      <w:pPr>
        <w:numPr>
          <w:ilvl w:val="-1"/>
          <w:numId w:val="0"/>
        </w:numPr>
        <w:spacing w:line="480" w:lineRule="exact"/>
        <w:ind w:firstLine="482" w:firstLineChars="200"/>
        <w:rPr>
          <w:rFonts w:hint="eastAsia" w:ascii="宋体" w:hAnsi="宋体" w:eastAsia="宋体"/>
          <w:b w:val="0"/>
          <w:bCs w:val="0"/>
          <w:sz w:val="24"/>
          <w:szCs w:val="24"/>
          <w:lang w:val="zh-CN" w:eastAsia="zh-CN"/>
        </w:rPr>
      </w:pPr>
      <w:r>
        <w:rPr>
          <w:rFonts w:hint="eastAsia" w:ascii="宋体" w:hAnsi="宋体" w:eastAsia="宋体"/>
          <w:b/>
          <w:bCs/>
          <w:color w:val="auto"/>
          <w:sz w:val="24"/>
          <w:szCs w:val="24"/>
          <w:lang w:val="en-US" w:eastAsia="zh-CN"/>
        </w:rPr>
        <w:t>5、成交供应商须</w:t>
      </w:r>
      <w:r>
        <w:rPr>
          <w:rFonts w:hint="eastAsia" w:ascii="宋体" w:hAnsi="宋体" w:eastAsia="宋体"/>
          <w:b/>
          <w:bCs/>
          <w:color w:val="auto"/>
          <w:sz w:val="24"/>
          <w:szCs w:val="24"/>
          <w:lang w:val="zh-CN" w:eastAsia="zh-CN"/>
        </w:rPr>
        <w:t>为采购人原有的罐体（含附件）、报警管道、管道终端、检验阀等医用气体系统设备提供免费的维护保养（产生的材料费需报采购人经认可按实结算）。</w:t>
      </w:r>
      <w:r>
        <w:rPr>
          <w:rFonts w:hint="eastAsia" w:ascii="宋体" w:hAnsi="宋体" w:eastAsia="宋体"/>
          <w:b w:val="0"/>
          <w:bCs w:val="0"/>
          <w:sz w:val="24"/>
          <w:szCs w:val="24"/>
          <w:lang w:val="zh-CN" w:eastAsia="zh-CN"/>
        </w:rPr>
        <w:t xml:space="preserve"> </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en-US" w:eastAsia="zh-CN"/>
        </w:rPr>
        <w:t>6</w:t>
      </w:r>
      <w:r>
        <w:rPr>
          <w:rFonts w:hint="eastAsia" w:ascii="宋体" w:hAnsi="宋体" w:eastAsia="宋体"/>
          <w:b w:val="0"/>
          <w:bCs w:val="0"/>
          <w:color w:val="auto"/>
          <w:sz w:val="24"/>
          <w:szCs w:val="24"/>
          <w:lang w:val="zh-CN" w:eastAsia="zh-CN"/>
        </w:rPr>
        <w:t>、成交供应商签订合同前须提供与配合运输单位的合作协议。供货时随车提供相应产品的检测报告和合格证等。</w:t>
      </w:r>
    </w:p>
    <w:p>
      <w:pPr>
        <w:numPr>
          <w:ilvl w:val="-1"/>
          <w:numId w:val="0"/>
        </w:numPr>
        <w:spacing w:line="480" w:lineRule="exact"/>
        <w:ind w:firstLine="480" w:firstLineChars="200"/>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7、</w:t>
      </w:r>
      <w:r>
        <w:rPr>
          <w:rFonts w:hint="eastAsia" w:ascii="宋体" w:hAnsi="宋体" w:eastAsia="宋体"/>
          <w:b w:val="0"/>
          <w:bCs w:val="0"/>
          <w:color w:val="auto"/>
          <w:sz w:val="24"/>
          <w:szCs w:val="24"/>
          <w:lang w:val="zh-CN" w:eastAsia="zh-CN"/>
        </w:rPr>
        <w:t>如遇突发事件需提供紧急维修，成交供应商须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六、结算付款</w:t>
      </w:r>
    </w:p>
    <w:bookmarkEnd w:id="5"/>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r>
        <w:rPr>
          <w:rFonts w:hint="eastAsia" w:ascii="宋体" w:hAnsi="宋体" w:eastAsia="宋体"/>
          <w:b/>
          <w:bCs/>
          <w:sz w:val="24"/>
          <w:szCs w:val="24"/>
          <w:lang w:val="zh-CN"/>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6"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highlight w:val="none"/>
        </w:rPr>
      </w:pPr>
      <w:r>
        <w:rPr>
          <w:rFonts w:hint="eastAsia" w:asciiTheme="majorEastAsia" w:hAnsiTheme="majorEastAsia" w:eastAsiaTheme="majorEastAsia" w:cstheme="minorEastAsia"/>
          <w:bCs/>
          <w:sz w:val="24"/>
          <w:szCs w:val="24"/>
          <w:highlight w:val="none"/>
        </w:rPr>
        <w:t>17、若</w:t>
      </w:r>
      <w:r>
        <w:rPr>
          <w:rFonts w:hint="eastAsia" w:asciiTheme="majorEastAsia" w:hAnsiTheme="majorEastAsia" w:eastAsiaTheme="majorEastAsia" w:cstheme="minorEastAsia"/>
          <w:bCs/>
          <w:sz w:val="24"/>
          <w:szCs w:val="24"/>
          <w:highlight w:val="none"/>
          <w:lang w:eastAsia="zh-CN"/>
        </w:rPr>
        <w:t>本次</w:t>
      </w:r>
      <w:r>
        <w:rPr>
          <w:rFonts w:hint="eastAsia" w:asciiTheme="majorEastAsia" w:hAnsiTheme="majorEastAsia" w:eastAsiaTheme="majorEastAsia" w:cstheme="minorEastAsia"/>
          <w:bCs/>
          <w:sz w:val="24"/>
          <w:szCs w:val="24"/>
          <w:highlight w:val="none"/>
        </w:rPr>
        <w:t>采购过程中符合要求的供应商只有两家，则继续进行竞争性磋商采购活动；若采购过程中符合要求的供应商只有一家，则终止本次竞争性磋商采购活动，重新开展采购活动。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 xml:space="preserve">技术分值占总分值的比重为 </w:t>
      </w:r>
      <w:r>
        <w:rPr>
          <w:rFonts w:hint="eastAsia" w:asciiTheme="majorEastAsia" w:hAnsiTheme="majorEastAsia" w:eastAsiaTheme="majorEastAsia" w:cstheme="minorEastAsia"/>
          <w:sz w:val="24"/>
          <w:szCs w:val="24"/>
          <w:u w:val="single"/>
          <w:lang w:val="en-US" w:eastAsia="zh-CN"/>
        </w:rPr>
        <w:t>40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 xml:space="preserve">报价分值占总分值的比重为 </w:t>
      </w:r>
      <w:r>
        <w:rPr>
          <w:rFonts w:hint="eastAsia" w:asciiTheme="majorEastAsia" w:hAnsiTheme="majorEastAsia" w:eastAsiaTheme="majorEastAsia" w:cstheme="minorEastAsia"/>
          <w:sz w:val="24"/>
          <w:szCs w:val="24"/>
          <w:u w:val="single"/>
          <w:lang w:val="en-US" w:eastAsia="zh-CN"/>
        </w:rPr>
        <w:t>60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4、技术分按算术平均值计算，分值四舍五入保留两位小数。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highlight w:val="none"/>
        </w:rPr>
      </w:pPr>
      <w:r>
        <w:rPr>
          <w:rFonts w:hint="eastAsia" w:asciiTheme="majorEastAsia" w:hAnsiTheme="majorEastAsia" w:eastAsiaTheme="majorEastAsia" w:cstheme="minorEastAsia"/>
          <w:b/>
          <w:sz w:val="24"/>
          <w:szCs w:val="24"/>
          <w:highlight w:val="none"/>
        </w:rPr>
        <w:t>五、综合评分规则</w:t>
      </w:r>
    </w:p>
    <w:bookmarkEnd w:id="6"/>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w:t>
      </w:r>
      <w:r>
        <w:rPr>
          <w:rFonts w:hint="eastAsia" w:asciiTheme="majorEastAsia" w:hAnsiTheme="majorEastAsia" w:eastAsiaTheme="majorEastAsia" w:cstheme="minorEastAsia"/>
          <w:sz w:val="24"/>
          <w:szCs w:val="24"/>
          <w:lang w:val="en-US" w:eastAsia="zh-CN"/>
        </w:rPr>
        <w:t>40</w:t>
      </w:r>
      <w:r>
        <w:rPr>
          <w:rFonts w:hint="eastAsia" w:asciiTheme="majorEastAsia" w:hAnsiTheme="majorEastAsia" w:eastAsiaTheme="majorEastAsia" w:cstheme="minorEastAsia"/>
          <w:sz w:val="24"/>
          <w:szCs w:val="24"/>
        </w:rPr>
        <w:t>分，评标委员会根据以下几个方面进行综合评估打分(取算术平均值，得分采用四舍五入法保留小数点后两位小数。)</w:t>
      </w:r>
    </w:p>
    <w:tbl>
      <w:tblPr>
        <w:tblStyle w:val="5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5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4"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项</w:t>
            </w:r>
          </w:p>
        </w:tc>
        <w:tc>
          <w:tcPr>
            <w:tcW w:w="756" w:type="dxa"/>
            <w:noWrap w:val="0"/>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分值</w:t>
            </w:r>
          </w:p>
        </w:tc>
        <w:tc>
          <w:tcPr>
            <w:tcW w:w="7441"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资信认证情况</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投标人获ISO9001质量体系认证得1分；获ISO140001环境管理体系认证得1分；获OHSAS18001职业健康安全管理体系认证得1分(本项满分3分)。</w:t>
            </w:r>
          </w:p>
          <w:p>
            <w:pPr>
              <w:pStyle w:val="136"/>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投标人企业信用等级为AAA得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分，信用等级为AA得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分，AA 级以下不得分(本项满分</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84"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投标人能力</w:t>
            </w:r>
          </w:p>
        </w:tc>
        <w:tc>
          <w:tcPr>
            <w:tcW w:w="756"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numPr>
                <w:ilvl w:val="0"/>
                <w:numId w:val="0"/>
              </w:num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提供生产设备、厂房、人员等情况介绍。由评委横向对比，酌情评分(本项满分</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技术参数响应</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评委根据项目需求中所明确的所有产品的规格、技术参数与招标文件的适合性打分。</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投标文件须具有详细的技术参数配置描述，且技术指标完全满足招标文件要求的本项得满分。</w:t>
            </w:r>
          </w:p>
          <w:p>
            <w:pPr>
              <w:pStyle w:val="13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加★项为重要性能指标，不允许负偏离，否则作无效投标处理</w:t>
            </w:r>
            <w:r>
              <w:rPr>
                <w:rFonts w:hint="eastAsia" w:ascii="宋体" w:hAnsi="宋体" w:eastAsia="宋体" w:cs="宋体"/>
                <w:color w:val="000000"/>
                <w:sz w:val="21"/>
                <w:szCs w:val="21"/>
                <w:highlight w:val="none"/>
              </w:rPr>
              <w:t>；</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非加★参数每有一项不满足扣</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分，累计扣分，扣完本项分值为止。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服务方案</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本项目</w:t>
            </w:r>
            <w:r>
              <w:rPr>
                <w:rFonts w:hint="eastAsia" w:ascii="宋体" w:hAnsi="宋体" w:eastAsia="宋体" w:cs="宋体"/>
                <w:color w:val="000000"/>
                <w:sz w:val="21"/>
                <w:szCs w:val="21"/>
              </w:rPr>
              <w:t>服务方案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从产品质量管控、配送服务、设备监管、</w:t>
            </w:r>
            <w:r>
              <w:rPr>
                <w:rFonts w:hint="eastAsia" w:ascii="宋体" w:hAnsi="宋体" w:eastAsia="宋体" w:cs="宋体"/>
                <w:color w:val="000000"/>
                <w:sz w:val="21"/>
                <w:szCs w:val="21"/>
                <w:lang w:eastAsia="zh-CN"/>
              </w:rPr>
              <w:t>售后服务、</w:t>
            </w:r>
            <w:r>
              <w:rPr>
                <w:rFonts w:hint="eastAsia" w:ascii="宋体" w:hAnsi="宋体" w:eastAsia="宋体" w:cs="宋体"/>
                <w:color w:val="000000"/>
                <w:sz w:val="21"/>
                <w:szCs w:val="21"/>
              </w:rPr>
              <w:t>增值服务等方面阐述。</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由评委根据投标人响应文件横向对比，酌情评分(本项满分</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投标人业绩</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7441" w:type="dxa"/>
            <w:noWrap w:val="0"/>
            <w:vAlign w:val="center"/>
          </w:tcPr>
          <w:p>
            <w:pPr>
              <w:snapToGrid w:val="0"/>
              <w:spacing w:line="3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年1月1日以来(合同签订日期)，投标人有医院医用气供应配送服务业绩(以合同原件为准)：每有1</w:t>
            </w:r>
            <w:r>
              <w:rPr>
                <w:rFonts w:hint="eastAsia" w:ascii="宋体" w:hAnsi="宋体" w:eastAsia="宋体" w:cs="宋体"/>
                <w:color w:val="000000"/>
                <w:sz w:val="21"/>
                <w:szCs w:val="21"/>
                <w:lang w:eastAsia="zh-CN"/>
              </w:rPr>
              <w:t>个</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本项满分</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r>
    </w:tbl>
    <w:p>
      <w:pPr>
        <w:snapToGrid w:val="0"/>
        <w:spacing w:line="300" w:lineRule="auto"/>
        <w:ind w:firstLine="555"/>
        <w:rPr>
          <w:rFonts w:hint="eastAsia"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w:t>
      </w:r>
      <w:r>
        <w:rPr>
          <w:rFonts w:hint="eastAsia" w:asciiTheme="majorEastAsia" w:hAnsiTheme="majorEastAsia" w:eastAsiaTheme="majorEastAsia" w:cstheme="minorEastAsia"/>
          <w:b/>
          <w:sz w:val="24"/>
          <w:lang w:eastAsia="zh-CN"/>
        </w:rPr>
        <w:t>分标准</w:t>
      </w:r>
      <w:r>
        <w:rPr>
          <w:rFonts w:hint="eastAsia" w:asciiTheme="majorEastAsia" w:hAnsiTheme="majorEastAsia" w:eastAsiaTheme="majorEastAsia" w:cstheme="minorEastAsia"/>
          <w:b/>
          <w:sz w:val="24"/>
        </w:rPr>
        <w:t>中涉及</w:t>
      </w:r>
      <w:r>
        <w:rPr>
          <w:rFonts w:hint="eastAsia" w:asciiTheme="majorEastAsia" w:hAnsiTheme="majorEastAsia" w:eastAsiaTheme="majorEastAsia" w:cstheme="minorEastAsia"/>
          <w:b/>
          <w:sz w:val="24"/>
          <w:lang w:eastAsia="zh-CN"/>
        </w:rPr>
        <w:t>的</w:t>
      </w:r>
      <w:r>
        <w:rPr>
          <w:rFonts w:hint="eastAsia" w:asciiTheme="majorEastAsia" w:hAnsiTheme="majorEastAsia" w:eastAsiaTheme="majorEastAsia" w:cstheme="minorEastAsia"/>
          <w:b/>
          <w:sz w:val="24"/>
        </w:rPr>
        <w:t>证明材料，如为复印件均须加盖供应商公章，相关原件请带至开标现场备查</w:t>
      </w:r>
      <w:r>
        <w:rPr>
          <w:rFonts w:hint="eastAsia" w:asciiTheme="majorEastAsia" w:hAnsiTheme="majorEastAsia" w:eastAsiaTheme="majorEastAsia" w:cstheme="minorEastAsia"/>
          <w:b/>
          <w:sz w:val="24"/>
          <w:lang w:eastAsia="zh-CN"/>
        </w:rPr>
        <w:t>，</w:t>
      </w:r>
      <w:r>
        <w:rPr>
          <w:rFonts w:hint="eastAsia" w:asciiTheme="majorEastAsia" w:hAnsiTheme="majorEastAsia" w:eastAsiaTheme="majorEastAsia" w:cstheme="minorEastAsia"/>
          <w:b/>
          <w:sz w:val="24"/>
        </w:rPr>
        <w:t>未携带原件或因携带原件不全所引起的后果由投标人自行承担。</w:t>
      </w:r>
    </w:p>
    <w:p>
      <w:pPr>
        <w:snapToGrid w:val="0"/>
        <w:spacing w:line="300" w:lineRule="auto"/>
        <w:ind w:firstLine="555"/>
        <w:rPr>
          <w:rFonts w:hint="eastAsia"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w:t>
      </w:r>
      <w:r>
        <w:rPr>
          <w:rFonts w:hint="eastAsia" w:asciiTheme="majorEastAsia" w:hAnsiTheme="majorEastAsia" w:eastAsiaTheme="majorEastAsia" w:cstheme="minorEastAsia"/>
          <w:sz w:val="24"/>
          <w:szCs w:val="24"/>
          <w:lang w:val="en-US" w:eastAsia="zh-CN"/>
        </w:rPr>
        <w:t>60</w:t>
      </w:r>
      <w:r>
        <w:rPr>
          <w:rFonts w:hint="eastAsia" w:asciiTheme="majorEastAsia" w:hAnsiTheme="majorEastAsia" w:eastAsiaTheme="majorEastAsia" w:cstheme="minorEastAsia"/>
          <w:sz w:val="24"/>
          <w:szCs w:val="24"/>
        </w:rPr>
        <w:t>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1、本项目最高限价如下表，投标人的综合单价和总</w:t>
      </w:r>
      <w:r>
        <w:rPr>
          <w:rFonts w:hint="eastAsia" w:asciiTheme="majorEastAsia" w:hAnsiTheme="majorEastAsia" w:eastAsiaTheme="majorEastAsia" w:cstheme="minorEastAsia"/>
          <w:bCs/>
          <w:sz w:val="24"/>
          <w:szCs w:val="24"/>
          <w:lang w:eastAsia="zh-CN"/>
        </w:rPr>
        <w:t>报</w:t>
      </w:r>
      <w:r>
        <w:rPr>
          <w:rFonts w:hint="eastAsia" w:asciiTheme="majorEastAsia" w:hAnsiTheme="majorEastAsia" w:eastAsiaTheme="majorEastAsia" w:cstheme="minorEastAsia"/>
          <w:bCs/>
          <w:sz w:val="24"/>
          <w:szCs w:val="24"/>
        </w:rPr>
        <w:t>价均不得超过相应限价，否则作无效标处理。</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9"/>
        <w:gridCol w:w="2901"/>
        <w:gridCol w:w="1578"/>
        <w:gridCol w:w="2120"/>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医用液氧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吨</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P12（大瓶）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小瓶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液氮</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升</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2940</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高纯氮</w:t>
            </w:r>
            <w:r>
              <w:rPr>
                <w:rFonts w:hint="eastAsia" w:ascii="宋体" w:hAnsi="宋体" w:eastAsia="宋体" w:cs="宋体"/>
                <w:color w:val="000000"/>
                <w:kern w:val="0"/>
                <w:sz w:val="22"/>
                <w:szCs w:val="22"/>
                <w:highlight w:val="none"/>
                <w:lang w:eastAsia="zh-CN" w:bidi="ar"/>
              </w:rPr>
              <w:t>气</w:t>
            </w:r>
          </w:p>
        </w:tc>
        <w:tc>
          <w:tcPr>
            <w:tcW w:w="157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以食品为原料高纯二氧化碳</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高纯乙炔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高纯氩气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eastAsia="zh-CN"/>
              </w:rPr>
              <w:t>预混气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1628"/>
              </w:tabs>
              <w:spacing w:line="263" w:lineRule="atLeas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ab/>
            </w:r>
            <w:r>
              <w:rPr>
                <w:rFonts w:hint="eastAsia" w:ascii="宋体" w:hAnsi="宋体" w:eastAsia="宋体" w:cs="宋体"/>
                <w:b/>
                <w:bCs/>
                <w:color w:val="auto"/>
                <w:kern w:val="0"/>
                <w:sz w:val="21"/>
                <w:szCs w:val="21"/>
                <w:highlight w:val="none"/>
                <w:lang w:eastAsia="zh-CN"/>
              </w:rPr>
              <w:t>总价限价：</w:t>
            </w:r>
            <w:r>
              <w:rPr>
                <w:rFonts w:hint="eastAsia" w:ascii="宋体" w:hAnsi="宋体" w:eastAsia="宋体" w:cs="宋体"/>
                <w:b/>
                <w:bCs/>
                <w:color w:val="auto"/>
                <w:kern w:val="0"/>
                <w:sz w:val="21"/>
                <w:szCs w:val="21"/>
                <w:highlight w:val="none"/>
                <w:lang w:val="en-US" w:eastAsia="zh-CN"/>
              </w:rPr>
              <w:t>255510</w:t>
            </w:r>
            <w:r>
              <w:rPr>
                <w:rFonts w:hint="eastAsia" w:ascii="宋体" w:hAnsi="宋体" w:eastAsia="宋体" w:cs="宋体"/>
                <w:b/>
                <w:bCs/>
                <w:color w:val="auto"/>
                <w:kern w:val="0"/>
                <w:sz w:val="21"/>
                <w:szCs w:val="21"/>
                <w:highlight w:val="none"/>
                <w:lang w:eastAsia="zh-CN"/>
              </w:rPr>
              <w:t>元</w:t>
            </w:r>
          </w:p>
        </w:tc>
      </w:tr>
    </w:tbl>
    <w:p>
      <w:pPr>
        <w:snapToGrid w:val="0"/>
        <w:spacing w:line="360" w:lineRule="auto"/>
        <w:ind w:firstLine="480" w:firstLineChars="200"/>
        <w:outlineLvl w:val="1"/>
        <w:rPr>
          <w:rFonts w:hint="eastAsia" w:asciiTheme="majorEastAsia" w:hAnsiTheme="majorEastAsia" w:eastAsiaTheme="majorEastAsia" w:cstheme="minorEastAsia"/>
          <w:bCs/>
          <w:sz w:val="24"/>
          <w:szCs w:val="24"/>
        </w:rPr>
      </w:pPr>
    </w:p>
    <w:p>
      <w:pPr>
        <w:snapToGrid w:val="0"/>
        <w:spacing w:line="360" w:lineRule="auto"/>
        <w:ind w:firstLine="480" w:firstLineChars="2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lang w:val="en-US" w:eastAsia="zh-CN"/>
        </w:rPr>
        <w:t>2</w:t>
      </w:r>
      <w:r>
        <w:rPr>
          <w:rFonts w:hint="eastAsia" w:asciiTheme="majorEastAsia" w:hAnsiTheme="majorEastAsia" w:eastAsiaTheme="majorEastAsia" w:cstheme="minorEastAsia"/>
          <w:bCs/>
          <w:sz w:val="24"/>
          <w:szCs w:val="24"/>
        </w:rPr>
        <w:t>、报价得分：价格分统一采用低价优先法计算，即满足磋商文件要求且最终</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报价最低的为磋商基准价，其价格分为满分。其他供应商的价格分统一按照下列公式计算：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w:t>
      </w:r>
      <w:r>
        <w:rPr>
          <w:rFonts w:hint="eastAsia" w:asciiTheme="majorEastAsia" w:hAnsiTheme="majorEastAsia" w:eastAsiaTheme="majorEastAsia" w:cstheme="minorEastAsia"/>
          <w:bCs/>
          <w:sz w:val="24"/>
          <w:szCs w:val="24"/>
          <w:lang w:val="en-US" w:eastAsia="zh-CN"/>
        </w:rPr>
        <w:t>6</w:t>
      </w:r>
      <w:r>
        <w:rPr>
          <w:rFonts w:hint="eastAsia" w:asciiTheme="majorEastAsia" w:hAnsiTheme="majorEastAsia" w:eastAsiaTheme="majorEastAsia" w:cstheme="minorEastAsia"/>
          <w:bCs/>
          <w:sz w:val="24"/>
          <w:szCs w:val="24"/>
        </w:rPr>
        <w:t>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6、联合体各方均为小型、微型企业（残疾人福利单位、监狱企业）的，联合体享受10%价格扣除，用扣除后的价格参与评审。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6</w:t>
      </w:r>
      <w:r>
        <w:rPr>
          <w:rFonts w:hint="eastAsia" w:asciiTheme="majorEastAsia" w:hAnsiTheme="majorEastAsia" w:eastAsiaTheme="majorEastAsia" w:cstheme="minorEastAsia"/>
          <w:sz w:val="24"/>
          <w:szCs w:val="24"/>
        </w:rPr>
        <w:t>、项目技术、方案不满足项目需求中的要求，有重大偏离或保留的；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w:t>
      </w:r>
      <w:r>
        <w:rPr>
          <w:rFonts w:hint="eastAsia" w:asciiTheme="majorEastAsia" w:hAnsiTheme="majorEastAsia" w:eastAsiaTheme="majorEastAsia" w:cstheme="minorEastAsia"/>
          <w:sz w:val="24"/>
          <w:szCs w:val="24"/>
        </w:rPr>
        <w:t>、磋商响应报价超出项目最高限价的；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8</w:t>
      </w:r>
      <w:r>
        <w:rPr>
          <w:rFonts w:hint="eastAsia" w:asciiTheme="majorEastAsia" w:hAnsiTheme="majorEastAsia" w:eastAsiaTheme="majorEastAsia" w:cstheme="minorEastAsia"/>
          <w:sz w:val="24"/>
          <w:szCs w:val="24"/>
        </w:rPr>
        <w:t>、被认定为低于成本报价而磋商竞标的；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9</w:t>
      </w:r>
      <w:r>
        <w:rPr>
          <w:rFonts w:hint="eastAsia" w:asciiTheme="majorEastAsia" w:hAnsiTheme="majorEastAsia" w:eastAsiaTheme="majorEastAsia" w:cstheme="minorEastAsia"/>
          <w:sz w:val="24"/>
          <w:szCs w:val="24"/>
        </w:rPr>
        <w:t>、供应商的磋商报价高于自己前一轮的。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10</w:t>
      </w:r>
      <w:r>
        <w:rPr>
          <w:rFonts w:hint="eastAsia" w:asciiTheme="majorEastAsia" w:hAnsiTheme="majorEastAsia" w:eastAsiaTheme="majorEastAsia" w:cstheme="minorEastAsia"/>
          <w:sz w:val="24"/>
          <w:szCs w:val="24"/>
        </w:rPr>
        <w:t>、不符合法律、法规和磋商文件中规定的实质性响应要求的；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通知书》一经发出，即具有法律效力。采购人、成交供应商依法承担法律责任。</w:t>
      </w:r>
      <w:bookmarkEnd w:id="4"/>
      <w:bookmarkStart w:id="7"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7"/>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8" w:name="_Toc94585343"/>
      <w:bookmarkStart w:id="9" w:name="_Toc363573858"/>
      <w:r>
        <w:rPr>
          <w:rFonts w:hint="eastAsia" w:hAnsi="宋体" w:eastAsia="宋体"/>
          <w:sz w:val="24"/>
          <w:szCs w:val="24"/>
        </w:rPr>
        <w:t>一、成交供应商在接到《成交通知书》</w:t>
      </w:r>
      <w:r>
        <w:rPr>
          <w:rFonts w:hint="eastAsia" w:hAnsi="宋体" w:eastAsia="宋体"/>
          <w:sz w:val="24"/>
          <w:szCs w:val="24"/>
          <w:highlight w:val="none"/>
        </w:rPr>
        <w:t>后</w:t>
      </w:r>
      <w:r>
        <w:rPr>
          <w:rFonts w:hint="eastAsia" w:hAnsi="宋体" w:eastAsia="宋体"/>
          <w:sz w:val="24"/>
          <w:szCs w:val="24"/>
          <w:highlight w:val="none"/>
          <w:lang w:val="en-US" w:eastAsia="zh-CN"/>
        </w:rPr>
        <w:t>10</w:t>
      </w:r>
      <w:r>
        <w:rPr>
          <w:rFonts w:hint="eastAsia" w:hAnsi="宋体" w:eastAsia="宋体"/>
          <w:sz w:val="24"/>
          <w:szCs w:val="24"/>
          <w:highlight w:val="none"/>
        </w:rPr>
        <w:t>日内与采</w:t>
      </w:r>
      <w:r>
        <w:rPr>
          <w:rFonts w:hint="eastAsia" w:hAnsi="宋体" w:eastAsia="宋体"/>
          <w:sz w:val="24"/>
          <w:szCs w:val="24"/>
        </w:rPr>
        <w:t>购人签订合同。合同签订后成交供应商方可履约，否则引起的一切后果由成交人自行承担</w:t>
      </w:r>
      <w:r>
        <w:rPr>
          <w:rFonts w:hint="eastAsia" w:hAnsi="宋体" w:eastAsia="宋体"/>
          <w:sz w:val="24"/>
          <w:szCs w:val="24"/>
          <w:highlight w:val="none"/>
        </w:rPr>
        <w:t>。合同一式四份（采购人、供应商各两份）。所签合同不得对采购文件作实质性修改。采购人不</w:t>
      </w:r>
      <w:r>
        <w:rPr>
          <w:rFonts w:hint="eastAsia" w:hAnsi="宋体" w:eastAsia="宋体"/>
          <w:sz w:val="24"/>
          <w:szCs w:val="24"/>
        </w:rPr>
        <w:t>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0" w:name="OLE_LINK1"/>
      <w:bookmarkStart w:id="11" w:name="OLE_LINK2"/>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0"/>
      <w:bookmarkEnd w:id="11"/>
      <w:r>
        <w:rPr>
          <w:rFonts w:hint="eastAsia" w:hAnsi="宋体" w:eastAsia="宋体"/>
          <w:sz w:val="24"/>
          <w:szCs w:val="24"/>
        </w:rPr>
        <w:t>。</w:t>
      </w:r>
    </w:p>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rPr>
        <w:t>五、付款方式：</w:t>
      </w: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widowControl/>
        <w:spacing w:line="360" w:lineRule="auto"/>
        <w:ind w:firstLine="480" w:firstLineChars="200"/>
        <w:jc w:val="left"/>
        <w:rPr>
          <w:rFonts w:hint="eastAsia" w:ascii="Times New Roman" w:hAnsi="宋体" w:eastAsia="宋体" w:cs="Times New Roman"/>
          <w:b w:val="0"/>
          <w:sz w:val="24"/>
          <w:szCs w:val="24"/>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p>
    <w:p>
      <w:pPr>
        <w:widowControl/>
        <w:spacing w:line="360" w:lineRule="auto"/>
        <w:ind w:firstLine="480" w:firstLineChars="200"/>
        <w:jc w:val="left"/>
        <w:rPr>
          <w:rFonts w:hint="eastAsia" w:ascii="Times New Roman" w:hAnsi="宋体" w:eastAsia="宋体" w:cs="Times New Roman"/>
          <w:b w:val="0"/>
          <w:sz w:val="24"/>
          <w:szCs w:val="24"/>
          <w:lang w:val="en-US" w:eastAsia="zh-CN"/>
        </w:rPr>
      </w:pPr>
      <w:r>
        <w:rPr>
          <w:rFonts w:hint="eastAsia" w:hAnsi="宋体" w:eastAsia="宋体" w:cs="Times New Roman"/>
          <w:b w:val="0"/>
          <w:sz w:val="24"/>
          <w:szCs w:val="24"/>
          <w:lang w:val="en-US" w:eastAsia="zh-CN"/>
        </w:rPr>
        <w:t>本项目各</w:t>
      </w:r>
      <w:r>
        <w:rPr>
          <w:rFonts w:hint="eastAsia" w:ascii="Times New Roman" w:hAnsi="宋体" w:eastAsia="宋体" w:cs="Times New Roman"/>
          <w:b w:val="0"/>
          <w:sz w:val="24"/>
          <w:szCs w:val="24"/>
          <w:lang w:eastAsia="zh-CN"/>
        </w:rPr>
        <w:t>款项</w:t>
      </w:r>
      <w:r>
        <w:rPr>
          <w:rFonts w:hint="eastAsia" w:ascii="Times New Roman" w:hAnsi="宋体" w:eastAsia="宋体" w:cs="Times New Roman"/>
          <w:b w:val="0"/>
          <w:sz w:val="24"/>
          <w:szCs w:val="24"/>
        </w:rPr>
        <w:t>的支付均不计</w:t>
      </w:r>
      <w:r>
        <w:rPr>
          <w:rFonts w:hint="eastAsia" w:ascii="Times New Roman" w:hAnsi="宋体" w:eastAsia="宋体" w:cs="Times New Roman"/>
          <w:b w:val="0"/>
          <w:sz w:val="24"/>
          <w:szCs w:val="24"/>
          <w:lang w:eastAsia="zh-CN"/>
        </w:rPr>
        <w:t>利</w:t>
      </w:r>
      <w:r>
        <w:rPr>
          <w:rFonts w:hint="eastAsia" w:ascii="Times New Roman" w:hAnsi="宋体" w:eastAsia="宋体" w:cs="Times New Roman"/>
          <w:b w:val="0"/>
          <w:sz w:val="24"/>
          <w:szCs w:val="24"/>
        </w:rPr>
        <w:t>息</w:t>
      </w:r>
      <w:r>
        <w:rPr>
          <w:rFonts w:hint="eastAsia" w:hAnsi="宋体" w:eastAsia="宋体" w:cs="Times New Roman"/>
          <w:b w:val="0"/>
          <w:sz w:val="24"/>
          <w:szCs w:val="24"/>
          <w:lang w:eastAsia="zh-CN"/>
        </w:rPr>
        <w:t>，一切税费均由成交供应商承担。</w:t>
      </w:r>
    </w:p>
    <w:p>
      <w:pPr>
        <w:widowControl/>
        <w:jc w:val="left"/>
        <w:rPr>
          <w:rFonts w:ascii="宋体" w:hAnsi="宋体" w:eastAsia="宋体" w:cs="宋体"/>
          <w:b/>
          <w:sz w:val="24"/>
          <w:szCs w:val="22"/>
        </w:rPr>
      </w:pPr>
    </w:p>
    <w:p>
      <w:pPr>
        <w:spacing w:line="360" w:lineRule="auto"/>
        <w:ind w:firstLine="480" w:firstLineChars="200"/>
        <w:rPr>
          <w:rFonts w:hint="eastAsia" w:hAnsi="宋体" w:eastAsia="宋体"/>
          <w:sz w:val="24"/>
          <w:szCs w:val="24"/>
        </w:rPr>
      </w:pPr>
      <w:r>
        <w:rPr>
          <w:rFonts w:hint="eastAsia" w:hAnsi="宋体" w:eastAsia="宋体"/>
          <w:sz w:val="24"/>
          <w:szCs w:val="24"/>
        </w:rPr>
        <w:t>附：合同格式条款</w:t>
      </w: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bookmarkEnd w:id="8"/>
    <w:bookmarkEnd w:id="9"/>
    <w:p>
      <w:pPr>
        <w:autoSpaceDE w:val="0"/>
        <w:autoSpaceDN w:val="0"/>
        <w:adjustRightInd w:val="0"/>
        <w:snapToGrid w:val="0"/>
        <w:spacing w:line="360" w:lineRule="auto"/>
        <w:contextualSpacing/>
        <w:jc w:val="center"/>
        <w:rPr>
          <w:rFonts w:hint="eastAsia" w:ascii="宋体" w:hAnsi="宋体" w:eastAsia="宋体" w:cs="宋体"/>
          <w:b/>
          <w:color w:val="000000"/>
          <w:sz w:val="32"/>
          <w:szCs w:val="32"/>
          <w:lang w:eastAsia="zh-CN"/>
        </w:rPr>
      </w:pPr>
      <w:bookmarkStart w:id="12" w:name="_Toc363573859"/>
      <w:r>
        <w:rPr>
          <w:rFonts w:hint="eastAsia" w:ascii="宋体" w:hAnsi="宋体" w:eastAsia="宋体" w:cs="宋体"/>
          <w:b/>
          <w:color w:val="000000"/>
          <w:sz w:val="32"/>
          <w:szCs w:val="32"/>
        </w:rPr>
        <w:t>合同</w:t>
      </w:r>
      <w:r>
        <w:rPr>
          <w:rFonts w:hint="eastAsia" w:ascii="宋体" w:hAnsi="宋体" w:eastAsia="宋体" w:cs="宋体"/>
          <w:b/>
          <w:color w:val="000000"/>
          <w:sz w:val="32"/>
          <w:szCs w:val="32"/>
          <w:lang w:eastAsia="zh-CN"/>
        </w:rPr>
        <w:t>格式条款</w:t>
      </w:r>
    </w:p>
    <w:p>
      <w:pPr>
        <w:pStyle w:val="136"/>
        <w:spacing w:line="566" w:lineRule="exact"/>
        <w:ind w:firstLine="480"/>
        <w:rPr>
          <w:rFonts w:hint="eastAsia" w:ascii="宋体" w:hAnsi="宋体" w:cs="宋体"/>
          <w:bCs/>
          <w:sz w:val="24"/>
        </w:rPr>
      </w:pPr>
      <w:r>
        <w:rPr>
          <w:rFonts w:hint="eastAsia" w:ascii="宋体" w:hAnsi="宋体" w:cs="宋体"/>
          <w:bCs/>
          <w:sz w:val="24"/>
        </w:rPr>
        <w:t>以下为中标后签订本项目合同的通用条款，中标人不得提出实质性的修改，关于专用条款将由采购人与中标人结合本项目具体情况协商后签订。</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 xml:space="preserve">项目名称：                 </w:t>
      </w:r>
      <w:r>
        <w:rPr>
          <w:rFonts w:hint="eastAsia" w:hAnsi="宋体" w:cs="宋体"/>
          <w:sz w:val="24"/>
          <w:szCs w:val="24"/>
        </w:rPr>
        <w:t xml:space="preserve">   </w:t>
      </w:r>
      <w:r>
        <w:rPr>
          <w:rFonts w:hint="eastAsia" w:hAnsi="宋体" w:eastAsia="宋体" w:cs="宋体"/>
          <w:sz w:val="24"/>
          <w:szCs w:val="24"/>
        </w:rPr>
        <w:t xml:space="preserve"> 项目编号：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甲方：（买方）</w:t>
      </w:r>
      <w:r>
        <w:rPr>
          <w:rFonts w:hint="eastAsia" w:hAnsi="宋体" w:eastAsia="宋体" w:cs="宋体"/>
          <w:sz w:val="24"/>
          <w:szCs w:val="24"/>
          <w:u w:val="single"/>
        </w:rPr>
        <w:t>南通市妇幼保健院</w:t>
      </w:r>
      <w:r>
        <w:rPr>
          <w:rFonts w:hint="eastAsia" w:hAnsi="宋体" w:cs="宋体"/>
          <w:sz w:val="24"/>
          <w:szCs w:val="24"/>
        </w:rPr>
        <w:t xml:space="preserve">     </w:t>
      </w:r>
      <w:r>
        <w:rPr>
          <w:rFonts w:hint="eastAsia" w:hAnsi="宋体" w:eastAsia="宋体" w:cs="宋体"/>
          <w:sz w:val="24"/>
          <w:szCs w:val="24"/>
        </w:rPr>
        <w:t>乙方：（卖方）_________</w:t>
      </w:r>
    </w:p>
    <w:p>
      <w:pPr>
        <w:pStyle w:val="28"/>
        <w:numPr>
          <w:ilvl w:val="0"/>
          <w:numId w:val="2"/>
        </w:numPr>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乙双方根据</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rPr>
        <w:t xml:space="preserve">     </w:t>
      </w:r>
      <w:r>
        <w:rPr>
          <w:rFonts w:hint="eastAsia" w:hAnsi="宋体" w:eastAsia="宋体" w:cs="宋体"/>
          <w:sz w:val="24"/>
          <w:szCs w:val="24"/>
        </w:rPr>
        <w:t>项目公开招标的结果，签署本合同。</w:t>
      </w:r>
    </w:p>
    <w:p>
      <w:pPr>
        <w:pStyle w:val="136"/>
        <w:spacing w:line="566" w:lineRule="exact"/>
        <w:ind w:firstLine="480"/>
        <w:rPr>
          <w:rFonts w:hint="eastAsia" w:ascii="宋体" w:hAnsi="宋体" w:eastAsia="宋体" w:cs="宋体"/>
          <w:bCs/>
          <w:sz w:val="24"/>
        </w:rPr>
      </w:pPr>
      <w:r>
        <w:rPr>
          <w:rFonts w:hint="eastAsia" w:ascii="宋体" w:hAnsi="宋体" w:eastAsia="宋体" w:cs="宋体"/>
          <w:bCs/>
          <w:sz w:val="24"/>
        </w:rPr>
        <w:t>一、货物、服务内容</w:t>
      </w:r>
    </w:p>
    <w:p>
      <w:pPr>
        <w:pStyle w:val="28"/>
        <w:snapToGrid w:val="0"/>
        <w:spacing w:line="566" w:lineRule="exact"/>
        <w:ind w:firstLine="480" w:firstLineChars="200"/>
        <w:rPr>
          <w:rFonts w:hAnsi="宋体" w:eastAsia="宋体" w:cs="宋体"/>
          <w:sz w:val="24"/>
          <w:szCs w:val="24"/>
        </w:rPr>
      </w:pPr>
      <w:r>
        <w:rPr>
          <w:rFonts w:hint="eastAsia" w:hAnsi="宋体" w:eastAsia="宋体" w:cs="宋体"/>
          <w:sz w:val="24"/>
          <w:szCs w:val="24"/>
        </w:rPr>
        <w:t>1.1 货物、服务名称：</w:t>
      </w:r>
      <w:r>
        <w:rPr>
          <w:rFonts w:hint="eastAsia" w:hAnsi="宋体" w:cs="宋体"/>
          <w:sz w:val="24"/>
          <w:szCs w:val="24"/>
          <w:u w:val="single"/>
        </w:rPr>
        <w:t xml:space="preserve">                                </w:t>
      </w:r>
    </w:p>
    <w:p>
      <w:pPr>
        <w:pStyle w:val="28"/>
        <w:snapToGrid w:val="0"/>
        <w:spacing w:line="566" w:lineRule="exact"/>
        <w:ind w:firstLine="480" w:firstLineChars="200"/>
        <w:rPr>
          <w:rFonts w:hAnsi="宋体" w:cs="宋体"/>
          <w:color w:val="auto"/>
          <w:sz w:val="24"/>
          <w:szCs w:val="24"/>
          <w:u w:val="single"/>
        </w:rPr>
      </w:pPr>
      <w:r>
        <w:rPr>
          <w:rFonts w:hint="eastAsia" w:hAnsi="宋体" w:cs="宋体"/>
          <w:color w:val="auto"/>
          <w:sz w:val="24"/>
          <w:szCs w:val="24"/>
        </w:rPr>
        <w:t>1.2</w:t>
      </w:r>
      <w:r>
        <w:rPr>
          <w:rFonts w:hint="eastAsia" w:hAnsi="宋体" w:eastAsia="宋体" w:cs="宋体"/>
          <w:color w:val="auto"/>
          <w:sz w:val="24"/>
          <w:szCs w:val="24"/>
          <w:lang w:val="zh-CN"/>
        </w:rPr>
        <w:t>乙方若无医用气配送运输资质，应与有医用气配送资质的运输单位就本项目签订运输合作协议，并作为本合同的附件。</w:t>
      </w:r>
      <w:r>
        <w:rPr>
          <w:rFonts w:hint="eastAsia" w:hAnsi="宋体" w:eastAsia="宋体" w:cs="宋体"/>
          <w:color w:val="auto"/>
          <w:sz w:val="24"/>
          <w:szCs w:val="24"/>
          <w:lang w:val="zh-CN" w:eastAsia="zh-CN"/>
        </w:rPr>
        <w:t>运输单位须具备《道路运输经营许可证》，</w:t>
      </w:r>
      <w:r>
        <w:rPr>
          <w:rFonts w:hint="eastAsia" w:hAnsi="宋体" w:eastAsia="宋体" w:cs="宋体"/>
          <w:color w:val="auto"/>
          <w:sz w:val="24"/>
          <w:szCs w:val="24"/>
          <w:lang w:val="zh-CN"/>
        </w:rPr>
        <w:t>车辆驾驶员和押运员要有安监局及技监局颁发的有效的上岗证。</w:t>
      </w:r>
    </w:p>
    <w:p>
      <w:pPr>
        <w:pStyle w:val="28"/>
        <w:snapToGrid w:val="0"/>
        <w:spacing w:line="566" w:lineRule="exact"/>
        <w:ind w:firstLine="480" w:firstLineChars="200"/>
        <w:rPr>
          <w:rFonts w:hint="eastAsia" w:hAnsi="宋体" w:eastAsia="宋体" w:cs="宋体"/>
          <w:sz w:val="24"/>
          <w:szCs w:val="24"/>
          <w:highlight w:val="none"/>
        </w:rPr>
      </w:pPr>
      <w:r>
        <w:rPr>
          <w:rFonts w:hint="eastAsia" w:hAnsi="宋体" w:eastAsia="宋体" w:cs="宋体"/>
          <w:sz w:val="24"/>
          <w:szCs w:val="24"/>
          <w:highlight w:val="none"/>
        </w:rPr>
        <w:t>二、合同金额</w:t>
      </w:r>
    </w:p>
    <w:tbl>
      <w:tblPr>
        <w:tblStyle w:val="57"/>
        <w:tblW w:w="92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2904"/>
        <w:gridCol w:w="1579"/>
        <w:gridCol w:w="2122"/>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57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bl>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三、技术资料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3.1乙方应按招标文件规定的时间向甲方提供使用货物、服务的有关技术资料。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四、质量要求</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4.1乙方所配送气体质量须符合国家GB17820-1999标准要求，液氧纯度≥99.6％，其他医用气质量均不得低于采购文件要求的质量标准。</w:t>
      </w:r>
    </w:p>
    <w:p>
      <w:pPr>
        <w:pStyle w:val="28"/>
        <w:snapToGrid w:val="0"/>
        <w:spacing w:line="566" w:lineRule="exact"/>
        <w:ind w:firstLine="480" w:firstLineChars="200"/>
        <w:rPr>
          <w:rFonts w:hint="eastAsia" w:hAnsi="宋体" w:eastAsia="宋体" w:cs="宋体"/>
          <w:sz w:val="24"/>
          <w:szCs w:val="24"/>
        </w:rPr>
      </w:pPr>
      <w:r>
        <w:rPr>
          <w:rFonts w:hint="eastAsia" w:hAnsi="宋体" w:cs="宋体"/>
          <w:sz w:val="24"/>
          <w:szCs w:val="24"/>
        </w:rPr>
        <w:t xml:space="preserve">4.2 </w:t>
      </w:r>
      <w:r>
        <w:rPr>
          <w:rFonts w:hint="eastAsia" w:hAnsi="宋体" w:eastAsia="宋体" w:cs="宋体"/>
          <w:sz w:val="24"/>
          <w:szCs w:val="24"/>
        </w:rPr>
        <w:t>乙方配送服务时须随车出具医用液态氧气合格证书。如医用液态氧气等医用气及乙方提供的其他</w:t>
      </w:r>
      <w:r>
        <w:rPr>
          <w:rFonts w:hint="eastAsia" w:hAnsi="宋体" w:eastAsia="宋体" w:cs="宋体"/>
          <w:sz w:val="24"/>
          <w:szCs w:val="24"/>
          <w:lang w:eastAsia="zh-CN"/>
        </w:rPr>
        <w:t>气体</w:t>
      </w:r>
      <w:r>
        <w:rPr>
          <w:rFonts w:hint="eastAsia" w:hAnsi="宋体" w:eastAsia="宋体" w:cs="宋体"/>
          <w:sz w:val="24"/>
          <w:szCs w:val="24"/>
        </w:rPr>
        <w:t>出现任何质量问题，乙方负全部责任。</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五、产权担保</w:t>
      </w:r>
    </w:p>
    <w:p>
      <w:pPr>
        <w:pStyle w:val="28"/>
        <w:snapToGrid w:val="0"/>
        <w:spacing w:line="566" w:lineRule="exact"/>
        <w:ind w:firstLine="480" w:firstLineChars="200"/>
        <w:jc w:val="left"/>
        <w:rPr>
          <w:rFonts w:hint="eastAsia" w:hAnsi="宋体" w:eastAsia="宋体" w:cs="宋体"/>
          <w:sz w:val="24"/>
          <w:szCs w:val="24"/>
        </w:rPr>
      </w:pPr>
      <w:r>
        <w:rPr>
          <w:rFonts w:hint="eastAsia" w:hAnsi="宋体" w:eastAsia="宋体" w:cs="宋体"/>
          <w:sz w:val="24"/>
          <w:szCs w:val="24"/>
        </w:rPr>
        <w:t>5.1 乙方保证所交付的货物、服务的所有权完全属于乙方且无任何抵押、查封等产权瑕疵。</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六、履约保证金</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6.1 乙方交纳人民币_________元作为本合同的履约保证金</w:t>
      </w:r>
      <w:r>
        <w:rPr>
          <w:rFonts w:hint="eastAsia" w:hAnsi="宋体" w:eastAsia="宋体" w:cs="宋体"/>
          <w:sz w:val="24"/>
          <w:szCs w:val="24"/>
          <w:lang w:eastAsia="zh-CN"/>
        </w:rPr>
        <w:t>（项目中标总价的</w:t>
      </w:r>
      <w:r>
        <w:rPr>
          <w:rFonts w:hint="eastAsia" w:hAnsi="宋体" w:eastAsia="宋体" w:cs="宋体"/>
          <w:sz w:val="24"/>
          <w:szCs w:val="24"/>
          <w:lang w:val="en-US" w:eastAsia="zh-CN"/>
        </w:rPr>
        <w:t>10%</w:t>
      </w:r>
      <w:r>
        <w:rPr>
          <w:rFonts w:hint="eastAsia" w:hAnsi="宋体" w:eastAsia="宋体" w:cs="宋体"/>
          <w:sz w:val="24"/>
          <w:szCs w:val="24"/>
          <w:lang w:eastAsia="zh-CN"/>
        </w:rPr>
        <w:t>）</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七、转包或分包</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7.1本合同范围的货物、服务，应由乙方直接供应，不得转让他人供应；</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 除非得到甲方的书面同意，乙方不得部分分包给他人供应。</w:t>
      </w:r>
    </w:p>
    <w:p>
      <w:pPr>
        <w:pStyle w:val="136"/>
        <w:snapToGrid w:val="0"/>
        <w:spacing w:line="566" w:lineRule="exact"/>
        <w:ind w:left="420" w:firstLine="120" w:firstLineChars="50"/>
        <w:rPr>
          <w:rFonts w:hint="eastAsia" w:ascii="宋体" w:hAnsi="宋体" w:cs="宋体"/>
          <w:sz w:val="24"/>
        </w:rPr>
      </w:pPr>
      <w:r>
        <w:rPr>
          <w:rFonts w:hint="eastAsia" w:ascii="宋体" w:hAnsi="宋体" w:eastAsia="宋体" w:cs="宋体"/>
          <w:kern w:val="2"/>
          <w:sz w:val="24"/>
          <w:szCs w:val="24"/>
          <w:lang w:val="en-US" w:eastAsia="zh-CN" w:bidi="ar-SA"/>
        </w:rPr>
        <w:t>7.3如有转让和未经甲方同意的分包行为，甲方有权给予终止合同。</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八、质保期</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8.1 质保期</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1</w:t>
      </w:r>
      <w:r>
        <w:rPr>
          <w:rFonts w:hint="eastAsia" w:hAnsi="宋体" w:eastAsia="宋体" w:cs="宋体"/>
          <w:sz w:val="24"/>
          <w:szCs w:val="24"/>
          <w:u w:val="single"/>
        </w:rPr>
        <w:t xml:space="preserve"> </w:t>
      </w:r>
      <w:r>
        <w:rPr>
          <w:rFonts w:hint="eastAsia" w:hAnsi="宋体" w:eastAsia="宋体" w:cs="宋体"/>
          <w:sz w:val="24"/>
          <w:szCs w:val="24"/>
        </w:rPr>
        <w:t>年（自交货验收合格之日起计）。</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九、交货期、交货方式及交货地点</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9.1 交货时间：乙方须按照甲方时间要求及时提供配送服务；因乙方原因导致不能满足甲方医用气正常使用需求的，甲方可以采取必要的临时措施，包括向其他供应商购买医用气。由此产生的费用和损失由乙方承担。</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sz w:val="24"/>
          <w:szCs w:val="24"/>
        </w:rPr>
        <w:t>9.2 交货方式：由乙方配送服务，送货上门。所有配送服务过程中的费用由乙方承担（包含在成交价内）。</w:t>
      </w:r>
      <w:r>
        <w:rPr>
          <w:rFonts w:hint="eastAsia" w:ascii="宋体" w:hAnsi="宋体" w:eastAsia="宋体"/>
          <w:b w:val="0"/>
          <w:bCs w:val="0"/>
          <w:color w:val="auto"/>
          <w:sz w:val="24"/>
          <w:szCs w:val="24"/>
          <w:lang w:val="zh-CN" w:eastAsia="zh-CN"/>
        </w:rPr>
        <w:t>供货时随车提供相应</w:t>
      </w:r>
      <w:r>
        <w:rPr>
          <w:rFonts w:hint="eastAsia" w:hAnsi="宋体" w:eastAsia="宋体"/>
          <w:b w:val="0"/>
          <w:bCs w:val="0"/>
          <w:color w:val="auto"/>
          <w:sz w:val="24"/>
          <w:szCs w:val="24"/>
          <w:lang w:val="zh-CN" w:eastAsia="zh-CN"/>
        </w:rPr>
        <w:t>产品</w:t>
      </w:r>
      <w:r>
        <w:rPr>
          <w:rFonts w:hint="eastAsia" w:ascii="宋体" w:hAnsi="宋体" w:eastAsia="宋体"/>
          <w:b w:val="0"/>
          <w:bCs w:val="0"/>
          <w:color w:val="auto"/>
          <w:sz w:val="24"/>
          <w:szCs w:val="24"/>
          <w:lang w:val="zh-CN" w:eastAsia="zh-CN"/>
        </w:rPr>
        <w:t>的检测报告和合格证等</w:t>
      </w:r>
      <w:r>
        <w:rPr>
          <w:rFonts w:hint="eastAsia" w:hAnsi="宋体" w:eastAsia="宋体"/>
          <w:b w:val="0"/>
          <w:bCs w:val="0"/>
          <w:color w:val="auto"/>
          <w:sz w:val="24"/>
          <w:szCs w:val="24"/>
          <w:lang w:val="zh-CN" w:eastAsia="zh-CN"/>
        </w:rPr>
        <w:t>。</w:t>
      </w:r>
      <w:r>
        <w:rPr>
          <w:rFonts w:hint="eastAsia" w:ascii="宋体" w:hAnsi="宋体" w:eastAsia="宋体"/>
          <w:b w:val="0"/>
          <w:bCs w:val="0"/>
          <w:color w:val="auto"/>
          <w:sz w:val="24"/>
          <w:szCs w:val="24"/>
          <w:lang w:val="zh-CN" w:eastAsia="zh-CN"/>
        </w:rPr>
        <w:t>医用液氧须在</w:t>
      </w:r>
      <w:r>
        <w:rPr>
          <w:rFonts w:hint="eastAsia" w:ascii="宋体" w:hAnsi="宋体" w:eastAsia="宋体"/>
          <w:b w:val="0"/>
          <w:bCs w:val="0"/>
          <w:color w:val="auto"/>
          <w:sz w:val="24"/>
          <w:szCs w:val="24"/>
          <w:lang w:val="en-US" w:eastAsia="zh-CN"/>
        </w:rPr>
        <w:t>3天内，其他特殊气体须</w:t>
      </w:r>
      <w:r>
        <w:rPr>
          <w:rFonts w:hint="eastAsia" w:ascii="宋体" w:hAnsi="宋体" w:eastAsia="宋体"/>
          <w:b w:val="0"/>
          <w:bCs w:val="0"/>
          <w:color w:val="auto"/>
          <w:sz w:val="24"/>
          <w:szCs w:val="24"/>
          <w:highlight w:val="none"/>
          <w:lang w:val="en-US" w:eastAsia="zh-CN"/>
        </w:rPr>
        <w:t>在4小时内送达</w:t>
      </w:r>
      <w:r>
        <w:rPr>
          <w:rFonts w:hint="eastAsia" w:ascii="宋体" w:hAnsi="宋体" w:eastAsia="宋体"/>
          <w:b w:val="0"/>
          <w:bCs w:val="0"/>
          <w:color w:val="auto"/>
          <w:sz w:val="24"/>
          <w:szCs w:val="24"/>
          <w:lang w:val="en-US" w:eastAsia="zh-CN"/>
        </w:rPr>
        <w:t>指定场地，如延迟送货，</w:t>
      </w:r>
      <w:r>
        <w:rPr>
          <w:rFonts w:hint="eastAsia" w:hAnsi="宋体" w:eastAsia="宋体"/>
          <w:b w:val="0"/>
          <w:bCs w:val="0"/>
          <w:color w:val="auto"/>
          <w:sz w:val="24"/>
          <w:szCs w:val="24"/>
          <w:lang w:val="en-US" w:eastAsia="zh-CN"/>
        </w:rPr>
        <w:t>甲方</w:t>
      </w:r>
      <w:r>
        <w:rPr>
          <w:rFonts w:hint="eastAsia" w:ascii="宋体" w:hAnsi="宋体" w:eastAsia="宋体"/>
          <w:b w:val="0"/>
          <w:bCs w:val="0"/>
          <w:color w:val="auto"/>
          <w:sz w:val="24"/>
          <w:szCs w:val="24"/>
          <w:lang w:val="en-US" w:eastAsia="zh-CN"/>
        </w:rPr>
        <w:t>可随时解除合同并可追究</w:t>
      </w:r>
      <w:r>
        <w:rPr>
          <w:rFonts w:hint="eastAsia" w:hAnsi="宋体" w:eastAsia="宋体"/>
          <w:b w:val="0"/>
          <w:bCs w:val="0"/>
          <w:color w:val="auto"/>
          <w:sz w:val="24"/>
          <w:szCs w:val="24"/>
          <w:lang w:val="en-US" w:eastAsia="zh-CN"/>
        </w:rPr>
        <w:t>乙方</w:t>
      </w:r>
      <w:r>
        <w:rPr>
          <w:rFonts w:hint="eastAsia" w:ascii="宋体" w:hAnsi="宋体" w:eastAsia="宋体"/>
          <w:b w:val="0"/>
          <w:bCs w:val="0"/>
          <w:color w:val="auto"/>
          <w:sz w:val="24"/>
          <w:szCs w:val="24"/>
          <w:lang w:val="en-US" w:eastAsia="zh-CN"/>
        </w:rPr>
        <w:t>责任。</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9.3 交货地点：甲方指定。乙方在配送服务过程中，有责任和义务协助甲方做好对医院储罐设备完好性巡查，及时发现和排除安全隐患，确保医院气储存、使用等环节的安全。</w:t>
      </w:r>
      <w:r>
        <w:rPr>
          <w:rFonts w:hint="eastAsia" w:hAnsi="宋体" w:eastAsia="宋体" w:cs="宋体"/>
          <w:bCs/>
          <w:color w:val="auto"/>
          <w:sz w:val="24"/>
          <w:szCs w:val="24"/>
          <w:lang w:eastAsia="zh-CN"/>
        </w:rPr>
        <w:t>乙方还须</w:t>
      </w:r>
      <w:r>
        <w:rPr>
          <w:rFonts w:hint="eastAsia" w:ascii="宋体" w:hAnsi="宋体" w:eastAsia="宋体"/>
          <w:b w:val="0"/>
          <w:bCs w:val="0"/>
          <w:color w:val="auto"/>
          <w:sz w:val="24"/>
          <w:szCs w:val="24"/>
          <w:lang w:val="zh-CN" w:eastAsia="zh-CN"/>
        </w:rPr>
        <w:t>为</w:t>
      </w:r>
      <w:r>
        <w:rPr>
          <w:rFonts w:hint="eastAsia" w:hAnsi="宋体" w:eastAsia="宋体"/>
          <w:b w:val="0"/>
          <w:bCs w:val="0"/>
          <w:color w:val="auto"/>
          <w:sz w:val="24"/>
          <w:szCs w:val="24"/>
          <w:lang w:val="zh-CN" w:eastAsia="zh-CN"/>
        </w:rPr>
        <w:t>甲方</w:t>
      </w:r>
      <w:r>
        <w:rPr>
          <w:rFonts w:hint="eastAsia" w:ascii="宋体" w:hAnsi="宋体" w:eastAsia="宋体"/>
          <w:b w:val="0"/>
          <w:bCs w:val="0"/>
          <w:color w:val="auto"/>
          <w:sz w:val="24"/>
          <w:szCs w:val="24"/>
          <w:lang w:val="zh-CN" w:eastAsia="zh-CN"/>
        </w:rPr>
        <w:t>原有的罐体（含附件）、报警管道、管道终端、检验阀等医用气体系统设备提供免费的维护保养（产生的材料费需报采购人经认可按实结算）。</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9.4</w:t>
      </w:r>
      <w:r>
        <w:rPr>
          <w:rFonts w:hint="eastAsia" w:hAnsi="宋体" w:eastAsia="宋体" w:cs="宋体"/>
          <w:color w:val="auto"/>
          <w:sz w:val="24"/>
          <w:szCs w:val="24"/>
        </w:rPr>
        <w:t>乙方承诺，接受甲方约</w:t>
      </w:r>
      <w:r>
        <w:rPr>
          <w:rFonts w:hint="eastAsia" w:hAnsi="宋体" w:eastAsia="宋体" w:cs="宋体"/>
          <w:bCs/>
          <w:color w:val="auto"/>
          <w:sz w:val="24"/>
          <w:szCs w:val="24"/>
        </w:rPr>
        <w:t>定的货物接受计量方</w:t>
      </w:r>
      <w:r>
        <w:rPr>
          <w:rFonts w:hint="eastAsia" w:hAnsi="宋体" w:eastAsia="宋体" w:cs="宋体"/>
          <w:color w:val="auto"/>
          <w:sz w:val="24"/>
          <w:szCs w:val="24"/>
        </w:rPr>
        <w:t>式，具体为：</w:t>
      </w:r>
      <w:r>
        <w:rPr>
          <w:rFonts w:hint="eastAsia" w:hAnsi="宋体" w:cs="宋体"/>
          <w:bCs/>
          <w:color w:val="auto"/>
          <w:sz w:val="24"/>
          <w:szCs w:val="24"/>
          <w:u w:val="single"/>
        </w:rPr>
        <w:t xml:space="preserve">                   </w:t>
      </w:r>
      <w:r>
        <w:rPr>
          <w:rFonts w:hint="eastAsia" w:hAnsi="宋体" w:eastAsia="宋体" w:cs="宋体"/>
          <w:bCs/>
          <w:color w:val="auto"/>
          <w:sz w:val="24"/>
          <w:szCs w:val="24"/>
          <w:u w:val="single"/>
        </w:rPr>
        <w:t>。</w:t>
      </w:r>
    </w:p>
    <w:p>
      <w:pPr>
        <w:pStyle w:val="28"/>
        <w:snapToGrid w:val="0"/>
        <w:spacing w:line="566" w:lineRule="exact"/>
        <w:ind w:firstLine="480" w:firstLineChars="200"/>
        <w:rPr>
          <w:rFonts w:hint="default" w:hAnsi="宋体" w:eastAsia="宋体" w:cs="宋体"/>
          <w:bCs/>
          <w:color w:val="auto"/>
          <w:sz w:val="24"/>
          <w:szCs w:val="24"/>
          <w:lang w:val="en-US" w:eastAsia="zh-CN"/>
        </w:rPr>
      </w:pPr>
      <w:r>
        <w:rPr>
          <w:rFonts w:hint="eastAsia" w:hAnsi="宋体" w:eastAsia="宋体" w:cs="宋体"/>
          <w:bCs/>
          <w:color w:val="auto"/>
          <w:sz w:val="24"/>
          <w:szCs w:val="24"/>
          <w:lang w:val="en-US" w:eastAsia="zh-CN"/>
        </w:rPr>
        <w:t>9.5</w:t>
      </w:r>
      <w:r>
        <w:rPr>
          <w:rFonts w:hint="eastAsia" w:ascii="宋体" w:hAnsi="宋体" w:eastAsia="宋体"/>
          <w:b w:val="0"/>
          <w:bCs w:val="0"/>
          <w:color w:val="auto"/>
          <w:sz w:val="24"/>
          <w:szCs w:val="24"/>
          <w:lang w:val="zh-CN" w:eastAsia="zh-CN"/>
        </w:rPr>
        <w:t>如遇突发事件需提供紧急维修，乙方须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十、货款支付</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10.1 付款方式：费用按月结算:每个次月10日前，乙方凭“配送确认单”的月度实际配送量</w:t>
      </w:r>
      <w:r>
        <w:rPr>
          <w:rFonts w:hint="eastAsia" w:hAnsi="宋体" w:eastAsia="宋体" w:cs="宋体"/>
          <w:bCs/>
          <w:sz w:val="24"/>
          <w:szCs w:val="24"/>
          <w:lang w:eastAsia="zh-CN"/>
        </w:rPr>
        <w:t>乘以固定综合单价</w:t>
      </w:r>
      <w:r>
        <w:rPr>
          <w:rFonts w:hint="eastAsia" w:hAnsi="宋体" w:eastAsia="宋体" w:cs="宋体"/>
          <w:bCs/>
          <w:sz w:val="24"/>
          <w:szCs w:val="24"/>
        </w:rPr>
        <w:t>开具有效</w:t>
      </w:r>
      <w:r>
        <w:rPr>
          <w:rFonts w:hint="eastAsia" w:hAnsi="宋体" w:eastAsia="宋体" w:cs="宋体"/>
          <w:bCs/>
          <w:sz w:val="24"/>
          <w:szCs w:val="24"/>
          <w:lang w:eastAsia="zh-CN"/>
        </w:rPr>
        <w:t>增值税</w:t>
      </w:r>
      <w:r>
        <w:rPr>
          <w:rFonts w:hint="eastAsia" w:hAnsi="宋体" w:eastAsia="宋体" w:cs="宋体"/>
          <w:bCs/>
          <w:sz w:val="24"/>
          <w:szCs w:val="24"/>
        </w:rPr>
        <w:t>发票</w:t>
      </w:r>
      <w:r>
        <w:rPr>
          <w:rFonts w:hint="eastAsia" w:hAnsi="宋体" w:eastAsia="宋体" w:cs="宋体"/>
          <w:sz w:val="24"/>
          <w:szCs w:val="24"/>
        </w:rPr>
        <w:t>，经甲方审核</w:t>
      </w:r>
      <w:r>
        <w:rPr>
          <w:rFonts w:hint="eastAsia" w:hAnsi="宋体" w:eastAsia="宋体" w:cs="宋体"/>
          <w:bCs/>
          <w:sz w:val="24"/>
          <w:szCs w:val="24"/>
        </w:rPr>
        <w:t>后结算支付上一月度费用。</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10.2当采购</w:t>
      </w:r>
      <w:r>
        <w:rPr>
          <w:rFonts w:hint="eastAsia" w:hAnsi="宋体" w:eastAsia="宋体" w:cs="宋体"/>
          <w:bCs/>
          <w:sz w:val="24"/>
          <w:szCs w:val="24"/>
          <w:lang w:eastAsia="zh-CN"/>
        </w:rPr>
        <w:t>预估</w:t>
      </w:r>
      <w:r>
        <w:rPr>
          <w:rFonts w:hint="eastAsia" w:hAnsi="宋体" w:eastAsia="宋体" w:cs="宋体"/>
          <w:bCs/>
          <w:sz w:val="24"/>
          <w:szCs w:val="24"/>
        </w:rPr>
        <w:t>数量与实际使用数量不一致时，乙方应根据实际使用量提供，最终结算金额按实际使用量乘以</w:t>
      </w:r>
      <w:r>
        <w:rPr>
          <w:rFonts w:hint="eastAsia" w:hAnsi="宋体" w:eastAsia="宋体" w:cs="宋体"/>
          <w:bCs/>
          <w:sz w:val="24"/>
          <w:szCs w:val="24"/>
          <w:lang w:eastAsia="zh-CN"/>
        </w:rPr>
        <w:t>固定综合</w:t>
      </w:r>
      <w:r>
        <w:rPr>
          <w:rFonts w:hint="eastAsia" w:hAnsi="宋体" w:eastAsia="宋体" w:cs="宋体"/>
          <w:bCs/>
          <w:sz w:val="24"/>
          <w:szCs w:val="24"/>
        </w:rPr>
        <w:t>单价进行计算。</w:t>
      </w:r>
    </w:p>
    <w:p>
      <w:pPr>
        <w:pStyle w:val="28"/>
        <w:snapToGrid w:val="0"/>
        <w:spacing w:line="566" w:lineRule="exact"/>
        <w:ind w:firstLine="480" w:firstLineChars="200"/>
        <w:rPr>
          <w:rFonts w:hint="eastAsia" w:hAnsi="宋体" w:eastAsia="宋体" w:cs="宋体"/>
          <w:bCs/>
          <w:sz w:val="24"/>
          <w:szCs w:val="24"/>
          <w:lang w:val="en-US" w:eastAsia="zh-CN"/>
        </w:rPr>
      </w:pPr>
      <w:r>
        <w:rPr>
          <w:rFonts w:hint="eastAsia" w:hAnsi="宋体" w:eastAsia="宋体" w:cs="宋体"/>
          <w:bCs/>
          <w:sz w:val="24"/>
          <w:szCs w:val="24"/>
          <w:lang w:val="en-US" w:eastAsia="zh-CN"/>
        </w:rPr>
        <w:t>10.3</w:t>
      </w:r>
      <w:r>
        <w:rPr>
          <w:rFonts w:hint="eastAsia" w:ascii="宋体" w:hAnsi="宋体" w:eastAsia="宋体" w:cs="宋体"/>
          <w:sz w:val="24"/>
          <w:szCs w:val="24"/>
        </w:rPr>
        <w:t>以上</w:t>
      </w:r>
      <w:r>
        <w:rPr>
          <w:rFonts w:hint="eastAsia" w:hAnsi="宋体" w:eastAsia="宋体" w:cs="宋体"/>
          <w:sz w:val="24"/>
          <w:szCs w:val="24"/>
          <w:lang w:eastAsia="zh-CN"/>
        </w:rPr>
        <w:t>款项</w:t>
      </w:r>
      <w:r>
        <w:rPr>
          <w:rFonts w:hint="eastAsia" w:ascii="宋体" w:hAnsi="宋体" w:eastAsia="宋体" w:cs="宋体"/>
          <w:sz w:val="24"/>
          <w:szCs w:val="24"/>
        </w:rPr>
        <w:t>的支付均不计</w:t>
      </w:r>
      <w:r>
        <w:rPr>
          <w:rFonts w:hint="eastAsia" w:hAnsi="宋体" w:eastAsia="宋体" w:cs="宋体"/>
          <w:sz w:val="24"/>
          <w:szCs w:val="24"/>
          <w:lang w:eastAsia="zh-CN"/>
        </w:rPr>
        <w:t>利</w:t>
      </w:r>
      <w:r>
        <w:rPr>
          <w:rFonts w:hint="eastAsia" w:ascii="宋体" w:hAnsi="宋体" w:eastAsia="宋体" w:cs="宋体"/>
          <w:sz w:val="24"/>
          <w:szCs w:val="24"/>
        </w:rPr>
        <w:t>息</w:t>
      </w:r>
      <w:r>
        <w:rPr>
          <w:rFonts w:hint="eastAsia" w:hAnsi="宋体" w:eastAsia="宋体" w:cs="宋体"/>
          <w:sz w:val="24"/>
          <w:szCs w:val="24"/>
          <w:lang w:eastAsia="zh-CN"/>
        </w:rPr>
        <w:t>。</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十一、税费</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bCs/>
          <w:sz w:val="24"/>
          <w:szCs w:val="24"/>
        </w:rPr>
        <w:t>11.1本合同执</w:t>
      </w:r>
      <w:r>
        <w:rPr>
          <w:rFonts w:hint="eastAsia" w:hAnsi="宋体" w:eastAsia="宋体" w:cs="宋体"/>
          <w:sz w:val="24"/>
          <w:szCs w:val="24"/>
        </w:rPr>
        <w:t>行中相关的一切税费均由乙方负担。</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十二、质量保证及售后服务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12.1 乙方应按招标文件规定的货物、服务的性能、技术要求、质量标准向甲方提供未经使用的全新产品或服务。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12.2 乙方提供的货物、服务在质量期内因货物、服务本身的质量问题发生故障，乙方应负责免费更换。对达不到技术要求者，根据实际情况，经双方协商，可按以下办法处理：</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⑴更换：由乙方承担所发生的全部费用。</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⑵贬值处理：由甲乙双方合议定价。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⑶退货处理：乙方应退还甲方支付的合同款，同时应承担该货物、服务的直接费用（运输、保险、检验、货款利息及银行手续费等）。</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12.3 如在使用过程中发生质量问题，乙方在接到甲方通知后在_________小时内到达甲方现场。</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12.4 在质保期内，乙方应对货物、服务出现的质量及安全问题负责处理解决并承担一切费用。</w:t>
      </w:r>
    </w:p>
    <w:p>
      <w:pPr>
        <w:pStyle w:val="28"/>
        <w:snapToGrid w:val="0"/>
        <w:spacing w:line="566" w:lineRule="exact"/>
        <w:ind w:firstLine="480" w:firstLineChars="200"/>
        <w:rPr>
          <w:rFonts w:hint="eastAsia" w:hAnsi="宋体" w:eastAsia="宋体" w:cs="宋体"/>
          <w:b/>
          <w:sz w:val="24"/>
          <w:szCs w:val="24"/>
        </w:rPr>
      </w:pPr>
      <w:r>
        <w:rPr>
          <w:rFonts w:hint="eastAsia" w:hAnsi="宋体" w:eastAsia="宋体" w:cs="宋体"/>
          <w:sz w:val="24"/>
          <w:szCs w:val="24"/>
        </w:rPr>
        <w:t>十三、调试和验收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13.1 甲方对乙方提交的货物、服务依据招标文件上的技术规格要求和国家有关质量标准进行现场初步验收，外观、说明书符合招标文件技术要求的，给予签收，初步验收不合格的不予签收。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13.2 乙方交货前应对产品作出全面检查和对验收文件进行整理，并列出清单，作为甲方收货验收和使用的技术条件依据，检验的结果应随货物、服务交甲方。</w:t>
      </w:r>
    </w:p>
    <w:p>
      <w:pPr>
        <w:pStyle w:val="28"/>
        <w:snapToGrid w:val="0"/>
        <w:spacing w:line="566" w:lineRule="exact"/>
        <w:ind w:firstLine="480" w:firstLineChars="200"/>
        <w:rPr>
          <w:rFonts w:hint="eastAsia" w:hAnsi="宋体" w:eastAsia="宋体" w:cs="宋体"/>
          <w:sz w:val="24"/>
          <w:szCs w:val="24"/>
          <w:u w:val="single"/>
        </w:rPr>
      </w:pPr>
      <w:r>
        <w:rPr>
          <w:rFonts w:hint="eastAsia" w:hAnsi="宋体" w:eastAsia="宋体" w:cs="宋体"/>
          <w:sz w:val="24"/>
          <w:szCs w:val="24"/>
        </w:rPr>
        <w:t>13.3 甲方对乙方提供的货物、服务在使用前进行调试时，乙方需负责安装并培训甲方的使用操作人员，并协助甲方一起调试，直到符合技术要求，甲方才做最终验收。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13.4 对技术复杂的货物、服务，甲方可请国家认可的专业检测机构参与初步验收及最终验收，并由其出具质量检测报告。</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13.5 验收时乙方必须在现场，验收完毕后作出验收结果报告；验收费用</w:t>
      </w:r>
      <w:r>
        <w:rPr>
          <w:rFonts w:hint="eastAsia" w:hAnsi="宋体" w:eastAsia="宋体" w:cs="宋体"/>
          <w:sz w:val="24"/>
          <w:szCs w:val="24"/>
          <w:lang w:eastAsia="zh-CN"/>
        </w:rPr>
        <w:t>均由乙方承担</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十四、货物、服务包装、发运及运输</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14.1 乙方应在货物、服务发运前对其进行满足运输距离、防爆、防潮、防震、防锈和防破损装卸等要求包装，以保证货物、服务安全运达甲方指定地点。</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14.2 使用说明书、质量检验证明书、随配附件和工具以及清单一并附于货物、服务内。</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14.3 乙方在货物、服务发运手续办理完毕后2小时内或货到甲方</w:t>
      </w:r>
      <w:r>
        <w:rPr>
          <w:rFonts w:hint="eastAsia" w:hAnsi="宋体" w:cs="宋体"/>
          <w:sz w:val="24"/>
          <w:szCs w:val="24"/>
        </w:rPr>
        <w:t>1</w:t>
      </w:r>
      <w:r>
        <w:rPr>
          <w:rFonts w:hint="eastAsia" w:hAnsi="宋体" w:eastAsia="宋体" w:cs="宋体"/>
          <w:sz w:val="24"/>
          <w:szCs w:val="24"/>
        </w:rPr>
        <w:t>小时前通知甲方，以准备接货。</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14.4 货物、服务在交付甲方前发生的风险均由乙方负责。</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14.5 货物、服务在规定的交付期限内由乙方送达甲方指定的地点视为交付，乙方同时需通知甲方货物、服务已送达。</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十五、违约责任</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15.1 甲方无正当理由拒收货物、服务的，甲方向乙方偿付拒收货款总值的百分之五违约金。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15.2 甲方无故逾期验收和办理货款支付手续的,甲方应按逾期付款总额每日万分之五向乙方支付违约金。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color w:val="auto"/>
          <w:sz w:val="24"/>
          <w:szCs w:val="24"/>
        </w:rPr>
        <w:t>15.3 乙方逾期交付货物、服务的，</w:t>
      </w:r>
      <w:r>
        <w:rPr>
          <w:rFonts w:hint="eastAsia" w:hAnsi="宋体" w:eastAsia="宋体" w:cs="宋体"/>
          <w:color w:val="auto"/>
          <w:sz w:val="24"/>
          <w:szCs w:val="24"/>
          <w:lang w:eastAsia="zh-CN"/>
        </w:rPr>
        <w:t>甲方</w:t>
      </w:r>
      <w:r>
        <w:rPr>
          <w:rFonts w:hint="eastAsia" w:ascii="宋体" w:hAnsi="宋体" w:eastAsia="宋体" w:cs="宋体"/>
          <w:color w:val="auto"/>
          <w:sz w:val="24"/>
          <w:szCs w:val="24"/>
          <w:lang w:val="zh-CN" w:eastAsia="zh-CN"/>
        </w:rPr>
        <w:t>有权将履约保证金作为违约金</w:t>
      </w:r>
      <w:r>
        <w:rPr>
          <w:rFonts w:hint="eastAsia" w:hAnsi="宋体" w:eastAsia="宋体" w:cs="宋体"/>
          <w:color w:val="auto"/>
          <w:sz w:val="24"/>
          <w:szCs w:val="24"/>
          <w:lang w:val="zh-CN" w:eastAsia="zh-CN"/>
        </w:rPr>
        <w:t>进行扣除，亦有权单方终止</w:t>
      </w:r>
      <w:r>
        <w:rPr>
          <w:rFonts w:hint="eastAsia" w:hAnsi="宋体" w:eastAsia="宋体" w:cs="宋体"/>
          <w:color w:val="auto"/>
          <w:sz w:val="24"/>
          <w:szCs w:val="24"/>
        </w:rPr>
        <w:t>合同。</w:t>
      </w:r>
      <w:r>
        <w:rPr>
          <w:rFonts w:hint="eastAsia" w:ascii="宋体" w:hAnsi="宋体" w:eastAsia="宋体" w:cs="宋体"/>
          <w:color w:val="auto"/>
          <w:sz w:val="24"/>
          <w:szCs w:val="24"/>
          <w:lang w:val="zh-CN" w:eastAsia="zh-CN"/>
        </w:rPr>
        <w:t>合同履行期间由于</w:t>
      </w:r>
      <w:r>
        <w:rPr>
          <w:rFonts w:hint="eastAsia" w:hAnsi="宋体" w:eastAsia="宋体" w:cs="宋体"/>
          <w:color w:val="auto"/>
          <w:sz w:val="24"/>
          <w:szCs w:val="24"/>
          <w:lang w:val="zh-CN" w:eastAsia="zh-CN"/>
        </w:rPr>
        <w:t>乙方</w:t>
      </w:r>
      <w:r>
        <w:rPr>
          <w:rFonts w:hint="eastAsia" w:ascii="宋体" w:hAnsi="宋体" w:eastAsia="宋体" w:cs="宋体"/>
          <w:color w:val="auto"/>
          <w:sz w:val="24"/>
          <w:szCs w:val="24"/>
          <w:lang w:val="zh-CN" w:eastAsia="zh-CN"/>
        </w:rPr>
        <w:t>的责任违反《</w:t>
      </w:r>
      <w:r>
        <w:rPr>
          <w:rFonts w:hint="eastAsia" w:hAnsi="宋体" w:eastAsia="宋体" w:cs="宋体"/>
          <w:color w:val="auto"/>
          <w:sz w:val="24"/>
          <w:szCs w:val="24"/>
          <w:lang w:val="zh-CN" w:eastAsia="zh-CN"/>
        </w:rPr>
        <w:t>服务考核表</w:t>
      </w:r>
      <w:r>
        <w:rPr>
          <w:rFonts w:hint="eastAsia" w:ascii="宋体" w:hAnsi="宋体" w:eastAsia="宋体" w:cs="宋体"/>
          <w:color w:val="auto"/>
          <w:sz w:val="24"/>
          <w:szCs w:val="24"/>
          <w:lang w:val="zh-CN" w:eastAsia="zh-CN"/>
        </w:rPr>
        <w:t>》相关条款，</w:t>
      </w:r>
      <w:r>
        <w:rPr>
          <w:rFonts w:hint="eastAsia" w:hAnsi="宋体" w:eastAsia="宋体" w:cs="宋体"/>
          <w:color w:val="auto"/>
          <w:sz w:val="24"/>
          <w:szCs w:val="24"/>
          <w:lang w:val="zh-CN" w:eastAsia="zh-CN"/>
        </w:rPr>
        <w:t>甲方</w:t>
      </w:r>
      <w:r>
        <w:rPr>
          <w:rFonts w:hint="eastAsia" w:ascii="宋体" w:hAnsi="宋体" w:eastAsia="宋体" w:cs="宋体"/>
          <w:color w:val="auto"/>
          <w:sz w:val="24"/>
          <w:szCs w:val="24"/>
          <w:lang w:val="zh-CN" w:eastAsia="zh-CN"/>
        </w:rPr>
        <w:t>有权从履约保证金中扣除相应款项（</w:t>
      </w:r>
      <w:r>
        <w:rPr>
          <w:rFonts w:hint="eastAsia" w:hAnsi="宋体" w:eastAsia="宋体" w:cs="宋体"/>
          <w:color w:val="auto"/>
          <w:sz w:val="24"/>
          <w:szCs w:val="24"/>
          <w:lang w:val="zh-CN" w:eastAsia="zh-CN"/>
        </w:rPr>
        <w:t>考核内容</w:t>
      </w:r>
      <w:r>
        <w:rPr>
          <w:rFonts w:hint="eastAsia" w:ascii="宋体" w:hAnsi="宋体" w:eastAsia="宋体" w:cs="宋体"/>
          <w:color w:val="auto"/>
          <w:sz w:val="24"/>
          <w:szCs w:val="24"/>
          <w:lang w:val="zh-CN" w:eastAsia="zh-CN"/>
        </w:rPr>
        <w:t>见合同附件）。</w:t>
      </w:r>
      <w:r>
        <w:rPr>
          <w:rFonts w:hint="eastAsia" w:hAnsi="宋体" w:eastAsia="宋体" w:cs="宋体"/>
          <w:color w:val="auto"/>
          <w:sz w:val="24"/>
          <w:szCs w:val="24"/>
        </w:rPr>
        <w:t>乙方因逾期交货或因其他违约行为造成甲方损失超过</w:t>
      </w:r>
      <w:r>
        <w:rPr>
          <w:rFonts w:hint="eastAsia" w:hAnsi="宋体" w:eastAsia="宋体" w:cs="宋体"/>
          <w:color w:val="auto"/>
          <w:sz w:val="24"/>
          <w:szCs w:val="24"/>
          <w:lang w:eastAsia="zh-CN"/>
        </w:rPr>
        <w:t>履约保证金</w:t>
      </w:r>
      <w:r>
        <w:rPr>
          <w:rFonts w:hint="eastAsia" w:hAnsi="宋体" w:eastAsia="宋体" w:cs="宋体"/>
          <w:color w:val="auto"/>
          <w:sz w:val="24"/>
          <w:szCs w:val="24"/>
        </w:rPr>
        <w:t>的，超出部分由乙方继续承担赔偿责任。</w:t>
      </w:r>
      <w:r>
        <w:rPr>
          <w:rFonts w:hint="eastAsia" w:hAnsi="宋体" w:eastAsia="宋体" w:cs="宋体"/>
          <w:sz w:val="24"/>
          <w:szCs w:val="24"/>
        </w:rPr>
        <w:t xml:space="preserve"> </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十六、不可抗力事件处理</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16.1 在合同有效期内，任何一方因不可抗力事件导致不能履行合同，则合同履行期可延长，其延长期与不可抗力影响期相同。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16.2 不可抗力事件发生后，应立即通知对方，并寄送有关权威机构出具的证明。</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16.3 不可抗力事件延续120天以上，双方应通过友好协商，确定是否继续履行合同。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十七、诉讼</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17.1 双方在执行合同中所发生的一切争议，应通过协商解决。如协商不成，可向合同签订地法院起诉，合同签订地在此约定为南通市。</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十八、合同生效及其它</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18.1 合同经双方法定代表人或授权委托代表人签字并加盖单位公章后生效。</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18.2本合同未尽事宜，遵照《</w:t>
      </w:r>
      <w:r>
        <w:rPr>
          <w:rFonts w:hint="eastAsia" w:hAnsi="宋体" w:eastAsia="宋体" w:cs="宋体"/>
          <w:sz w:val="24"/>
          <w:szCs w:val="24"/>
          <w:lang w:eastAsia="zh-CN"/>
        </w:rPr>
        <w:t>中华人民共和国民法典</w:t>
      </w:r>
      <w:r>
        <w:rPr>
          <w:rFonts w:hint="eastAsia" w:hAnsi="宋体" w:eastAsia="宋体" w:cs="宋体"/>
          <w:sz w:val="24"/>
          <w:szCs w:val="24"/>
        </w:rPr>
        <w:t>》有关条文执行。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18.3 本合同一式</w:t>
      </w:r>
      <w:r>
        <w:rPr>
          <w:rFonts w:hint="eastAsia" w:hAnsi="宋体" w:eastAsia="宋体" w:cs="宋体"/>
          <w:sz w:val="24"/>
          <w:szCs w:val="24"/>
          <w:u w:val="single"/>
          <w:lang w:val="en-US" w:eastAsia="zh-CN"/>
        </w:rPr>
        <w:t xml:space="preserve"> 肆 </w:t>
      </w:r>
      <w:r>
        <w:rPr>
          <w:rFonts w:hint="eastAsia" w:hAnsi="宋体" w:eastAsia="宋体" w:cs="宋体"/>
          <w:sz w:val="24"/>
          <w:szCs w:val="24"/>
        </w:rPr>
        <w:t>份，具有同等法律效力，甲方、乙方各执</w:t>
      </w:r>
      <w:r>
        <w:rPr>
          <w:rFonts w:hint="eastAsia" w:hAnsi="宋体" w:eastAsia="宋体" w:cs="宋体"/>
          <w:sz w:val="24"/>
          <w:szCs w:val="24"/>
          <w:u w:val="single"/>
          <w:lang w:val="en-US" w:eastAsia="zh-CN"/>
        </w:rPr>
        <w:t xml:space="preserve"> 贰 </w:t>
      </w:r>
      <w:r>
        <w:rPr>
          <w:rFonts w:hint="eastAsia" w:hAnsi="宋体" w:eastAsia="宋体" w:cs="宋体"/>
          <w:sz w:val="24"/>
          <w:szCs w:val="24"/>
        </w:rPr>
        <w:t>份。</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 xml:space="preserve">甲方：                      乙方：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地址：                      地址：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法定代表人或授权代表：      法定代表人或授权代表：</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联系电话：                  联系电话：</w:t>
      </w:r>
    </w:p>
    <w:p>
      <w:pPr>
        <w:pStyle w:val="28"/>
        <w:snapToGrid w:val="0"/>
        <w:spacing w:line="542" w:lineRule="exact"/>
        <w:rPr>
          <w:rFonts w:hint="eastAsia" w:hAnsi="宋体" w:eastAsia="宋体" w:cs="宋体"/>
          <w:sz w:val="24"/>
          <w:szCs w:val="24"/>
        </w:rPr>
      </w:pP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签订日期：      年  月  日</w:t>
      </w:r>
    </w:p>
    <w:p>
      <w:pPr>
        <w:rPr>
          <w:rFonts w:hint="eastAsia" w:hAnsi="宋体" w:eastAsia="宋体" w:cs="宋体"/>
          <w:sz w:val="24"/>
          <w:szCs w:val="24"/>
        </w:rPr>
      </w:pPr>
      <w:r>
        <w:rPr>
          <w:rFonts w:hint="eastAsia" w:hAnsi="宋体" w:eastAsia="宋体" w:cs="宋体"/>
          <w:sz w:val="24"/>
          <w:szCs w:val="24"/>
        </w:rPr>
        <w:br w:type="page"/>
      </w:r>
    </w:p>
    <w:p>
      <w:pPr>
        <w:pStyle w:val="2"/>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合同</w:t>
      </w:r>
      <w:r>
        <w:rPr>
          <w:rFonts w:hint="eastAsia" w:ascii="宋体" w:hAnsi="宋体" w:eastAsia="宋体" w:cs="宋体"/>
          <w:kern w:val="2"/>
          <w:sz w:val="24"/>
          <w:szCs w:val="24"/>
          <w:lang w:val="en-US" w:eastAsia="zh-CN" w:bidi="ar-SA"/>
        </w:rPr>
        <w:t>附件：</w:t>
      </w:r>
    </w:p>
    <w:p>
      <w:pPr>
        <w:pStyle w:val="2"/>
        <w:ind w:left="0" w:leftChars="0" w:firstLine="0" w:firstLineChars="0"/>
        <w:jc w:val="center"/>
        <w:rPr>
          <w:rFonts w:hint="eastAsia" w:ascii="宋体" w:hAnsi="宋体" w:eastAsia="宋体" w:cs="宋体"/>
          <w:b/>
          <w:bCs/>
          <w:sz w:val="28"/>
          <w:szCs w:val="28"/>
          <w:lang w:eastAsia="zh-CN"/>
        </w:rPr>
      </w:pPr>
      <w:r>
        <w:rPr>
          <w:rFonts w:hint="eastAsia" w:ascii="宋体" w:hAnsi="宋体" w:cs="宋体"/>
          <w:b/>
          <w:bCs/>
          <w:sz w:val="32"/>
          <w:szCs w:val="32"/>
          <w:lang w:eastAsia="zh-CN"/>
        </w:rPr>
        <w:t>供应商医用气供货配送服务</w:t>
      </w:r>
      <w:r>
        <w:rPr>
          <w:rFonts w:hint="eastAsia" w:ascii="宋体" w:hAnsi="宋体" w:eastAsia="宋体" w:cs="宋体"/>
          <w:b/>
          <w:bCs/>
          <w:sz w:val="32"/>
          <w:szCs w:val="32"/>
          <w:lang w:eastAsia="zh-CN"/>
        </w:rPr>
        <w:t>考核表</w:t>
      </w:r>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835"/>
        <w:gridCol w:w="129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vertAlign w:val="baseline"/>
                <w:lang w:eastAsia="zh-CN"/>
              </w:rPr>
            </w:pPr>
            <w:r>
              <w:rPr>
                <w:rFonts w:hint="eastAsia" w:ascii="宋体" w:hAnsi="宋体" w:cs="宋体"/>
                <w:b/>
                <w:bCs/>
                <w:sz w:val="22"/>
                <w:szCs w:val="22"/>
                <w:vertAlign w:val="baseline"/>
                <w:lang w:eastAsia="zh-CN"/>
              </w:rPr>
              <w:t>序号</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考核结果</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扣款（元</w:t>
            </w:r>
            <w:r>
              <w:rPr>
                <w:rFonts w:hint="eastAsia" w:ascii="宋体" w:hAnsi="宋体" w:cs="宋体"/>
                <w:b/>
                <w:bCs/>
                <w:sz w:val="22"/>
                <w:szCs w:val="22"/>
                <w:vertAlign w:val="baseline"/>
                <w:lang w:val="en-US" w:eastAsia="zh-CN"/>
              </w:rPr>
              <w:t>/次</w:t>
            </w:r>
            <w:r>
              <w:rPr>
                <w:rFonts w:hint="eastAsia" w:ascii="宋体" w:hAnsi="宋体" w:cs="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eastAsia="宋体"/>
                <w:b w:val="0"/>
                <w:bCs w:val="0"/>
                <w:color w:val="auto"/>
                <w:sz w:val="22"/>
                <w:szCs w:val="22"/>
                <w:lang w:val="zh-CN" w:eastAsia="zh-CN"/>
              </w:rPr>
              <w:t>供应商在供货时随车提供相应</w:t>
            </w:r>
            <w:r>
              <w:rPr>
                <w:rFonts w:hint="eastAsia" w:ascii="宋体" w:hAnsi="宋体"/>
                <w:b w:val="0"/>
                <w:bCs w:val="0"/>
                <w:color w:val="auto"/>
                <w:sz w:val="22"/>
                <w:szCs w:val="22"/>
                <w:lang w:val="zh-CN" w:eastAsia="zh-CN"/>
              </w:rPr>
              <w:t>产品</w:t>
            </w:r>
            <w:r>
              <w:rPr>
                <w:rFonts w:hint="eastAsia" w:ascii="宋体" w:hAnsi="宋体" w:eastAsia="宋体"/>
                <w:b w:val="0"/>
                <w:bCs w:val="0"/>
                <w:color w:val="auto"/>
                <w:sz w:val="22"/>
                <w:szCs w:val="22"/>
                <w:lang w:val="zh-CN" w:eastAsia="zh-CN"/>
              </w:rPr>
              <w:t>的检测报告和合格证等</w:t>
            </w:r>
            <w:r>
              <w:rPr>
                <w:rFonts w:hint="eastAsia" w:ascii="宋体" w:hAnsi="宋体"/>
                <w:b w:val="0"/>
                <w:bCs w:val="0"/>
                <w:color w:val="auto"/>
                <w:sz w:val="22"/>
                <w:szCs w:val="22"/>
                <w:lang w:val="zh-CN" w:eastAsia="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b w:val="0"/>
                <w:bCs w:val="0"/>
                <w:sz w:val="22"/>
                <w:szCs w:val="22"/>
                <w:lang w:val="zh-CN"/>
              </w:rPr>
              <w:t>送货的</w:t>
            </w:r>
            <w:r>
              <w:rPr>
                <w:rFonts w:hint="eastAsia" w:ascii="宋体" w:hAnsi="宋体" w:eastAsia="宋体"/>
                <w:b w:val="0"/>
                <w:bCs w:val="0"/>
                <w:sz w:val="22"/>
                <w:szCs w:val="22"/>
                <w:lang w:val="zh-CN"/>
              </w:rPr>
              <w:t>车辆驾驶员和押运员有安监局及技监局颁发的有效上岗证</w:t>
            </w:r>
            <w:r>
              <w:rPr>
                <w:rFonts w:hint="eastAsia" w:ascii="宋体" w:hAnsi="宋体"/>
                <w:b w:val="0"/>
                <w:bCs w:val="0"/>
                <w:sz w:val="22"/>
                <w:szCs w:val="22"/>
                <w:lang w:val="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按规定做好设备运行、保养、维修工作，并填写相关记录。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4</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管理维护人员定期（每月至少</w:t>
            </w:r>
            <w:r>
              <w:rPr>
                <w:rFonts w:hint="eastAsia" w:ascii="宋体" w:hAnsi="宋体" w:cs="宋体"/>
                <w:b w:val="0"/>
                <w:bCs w:val="0"/>
                <w:sz w:val="22"/>
                <w:szCs w:val="22"/>
                <w:vertAlign w:val="baseline"/>
                <w:lang w:val="en-US" w:eastAsia="zh-CN"/>
              </w:rPr>
              <w:t>1次</w:t>
            </w:r>
            <w:r>
              <w:rPr>
                <w:rFonts w:hint="eastAsia" w:ascii="宋体" w:hAnsi="宋体" w:cs="宋体"/>
                <w:b w:val="0"/>
                <w:bCs w:val="0"/>
                <w:sz w:val="22"/>
                <w:szCs w:val="22"/>
                <w:vertAlign w:val="baseline"/>
                <w:lang w:eastAsia="zh-CN"/>
              </w:rPr>
              <w:t>）进行安全检查，并详细记录。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5</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禁止在充装站外由罐车等移动式压力容器直接对气瓶进行充装；禁止将气瓶内气体直接向气体气瓶倒装。</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6</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医用气体气瓶存放时，放置整齐，留出通道。公称容积大于等于</w:t>
            </w:r>
            <w:r>
              <w:rPr>
                <w:rFonts w:hint="eastAsia" w:ascii="宋体" w:hAnsi="宋体" w:cs="宋体"/>
                <w:b w:val="0"/>
                <w:bCs w:val="0"/>
                <w:sz w:val="22"/>
                <w:szCs w:val="22"/>
                <w:vertAlign w:val="baseline"/>
                <w:lang w:val="en-US" w:eastAsia="zh-CN"/>
              </w:rPr>
              <w:t>5L的气瓶应当配有保护罩或者固定式瓶帽。</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7</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结合本单位医用气体系统的特点，制定医用气体应急预案。</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8</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应急预案应包含应急组织体系，信息报告程序，构成单位或人员，联系方式，应急处置流程，生命支持区域保障措施，应急物资的储备数量和存放地点等内容。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9</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根据本单位实际需求，储备足够的维修配件及应急物资。</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p>
        </w:tc>
      </w:tr>
    </w:tbl>
    <w:p>
      <w:pPr>
        <w:pStyle w:val="2"/>
        <w:ind w:left="0" w:leftChars="0" w:firstLine="0" w:firstLineChars="0"/>
        <w:jc w:val="center"/>
        <w:rPr>
          <w:rFonts w:hint="eastAsia" w:ascii="宋体" w:hAnsi="宋体" w:eastAsia="宋体" w:cs="宋体"/>
          <w:b/>
          <w:bCs/>
          <w:sz w:val="28"/>
          <w:szCs w:val="28"/>
          <w:lang w:eastAsia="zh-CN"/>
        </w:rPr>
      </w:pPr>
    </w:p>
    <w:p>
      <w:pPr>
        <w:pStyle w:val="28"/>
        <w:snapToGrid w:val="0"/>
        <w:spacing w:line="542" w:lineRule="exact"/>
        <w:rPr>
          <w:rFonts w:hint="eastAsia" w:hAnsi="宋体" w:eastAsia="宋体" w:cs="宋体"/>
          <w:sz w:val="24"/>
          <w:szCs w:val="24"/>
        </w:rPr>
      </w:pPr>
    </w:p>
    <w:p>
      <w:pPr>
        <w:rPr>
          <w:rFonts w:hint="eastAsia" w:asciiTheme="majorEastAsia" w:hAnsiTheme="majorEastAsia" w:eastAsiaTheme="majorEastAsia" w:cstheme="minorEastAsia"/>
          <w:b/>
          <w:w w:val="80"/>
          <w:sz w:val="36"/>
          <w:szCs w:val="36"/>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第六章 质疑与投诉</w:t>
      </w:r>
      <w:bookmarkEnd w:id="12"/>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供应商不得进行不提供相关佐证材料（含无法查实的如宣传册、媒体报道、猜测、推理等）而向有关部门的举报，否则对其在1至3年内禁入崇川区政府采购活动。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供应商进行质疑后，采购人回复质疑不成立，质疑人仍进行投诉的，并最终投诉不成立的，对其在1至3年内禁入崇川区政府采购活动。</w:t>
      </w:r>
    </w:p>
    <w:p>
      <w:pPr>
        <w:tabs>
          <w:tab w:val="left" w:pos="1050"/>
          <w:tab w:val="right" w:leader="dot" w:pos="9402"/>
        </w:tabs>
        <w:spacing w:beforeLines="100" w:line="400" w:lineRule="exact"/>
        <w:outlineLvl w:val="0"/>
        <w:rPr>
          <w:rFonts w:asciiTheme="majorEastAsia" w:hAnsiTheme="majorEastAsia" w:eastAsiaTheme="majorEastAsia" w:cstheme="minorEastAsia"/>
          <w:b/>
          <w:w w:val="80"/>
          <w:sz w:val="32"/>
          <w:szCs w:val="32"/>
        </w:rPr>
      </w:pPr>
      <w:bookmarkStart w:id="13" w:name="_Toc363573860"/>
    </w:p>
    <w:p>
      <w:pPr>
        <w:pStyle w:val="2"/>
        <w:ind w:left="520" w:firstLine="560"/>
        <w:rPr>
          <w:rFonts w:asciiTheme="majorEastAsia" w:hAnsiTheme="majorEastAsia" w:eastAsiaTheme="majorEastAsia"/>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3"/>
      <w:r>
        <w:rPr>
          <w:rFonts w:hint="eastAsia" w:asciiTheme="majorEastAsia" w:hAnsiTheme="majorEastAsia" w:eastAsiaTheme="majorEastAsia" w:cstheme="minorEastAsia"/>
          <w:b/>
          <w:w w:val="80"/>
          <w:sz w:val="36"/>
          <w:szCs w:val="36"/>
        </w:rPr>
        <w:t xml:space="preserve"> 磋商响应相关格式及文件</w:t>
      </w:r>
    </w:p>
    <w:p>
      <w:pPr>
        <w:keepNext w:val="0"/>
        <w:keepLines w:val="0"/>
        <w:pageBreakBefore w:val="0"/>
        <w:widowControl w:val="0"/>
        <w:kinsoku/>
        <w:wordWrap/>
        <w:overflowPunct/>
        <w:topLinePunct w:val="0"/>
        <w:autoSpaceDE/>
        <w:autoSpaceDN/>
        <w:bidi w:val="0"/>
        <w:adjustRightInd w:val="0"/>
        <w:snapToGrid w:val="0"/>
        <w:spacing w:after="191" w:afterLines="50" w:line="480" w:lineRule="exact"/>
        <w:ind w:firstLine="484" w:firstLineChars="202"/>
        <w:jc w:val="left"/>
        <w:textAlignment w:val="auto"/>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hint="eastAsia" w:ascii="宋体" w:hAnsi="宋体" w:eastAsia="宋体" w:cs="宋体"/>
          <w:b/>
          <w:bCs/>
          <w:sz w:val="24"/>
          <w:szCs w:val="24"/>
        </w:rPr>
        <w:t xml:space="preserve"> </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w:t>
      </w:r>
      <w:r>
        <w:rPr>
          <w:rFonts w:hint="eastAsia" w:asciiTheme="majorEastAsia" w:hAnsiTheme="majorEastAsia" w:eastAsiaTheme="majorEastAsia" w:cstheme="minorEastAsia"/>
          <w:sz w:val="24"/>
          <w:szCs w:val="24"/>
          <w:lang w:eastAsia="zh-CN"/>
        </w:rPr>
        <w:t>有效的营业执照</w:t>
      </w:r>
      <w:r>
        <w:rPr>
          <w:rFonts w:hint="eastAsia" w:asciiTheme="majorEastAsia" w:hAnsiTheme="majorEastAsia" w:eastAsiaTheme="majorEastAsia" w:cstheme="minorEastAsia"/>
          <w:sz w:val="24"/>
          <w:szCs w:val="24"/>
        </w:rPr>
        <w:t>等证明</w:t>
      </w:r>
      <w:r>
        <w:rPr>
          <w:rFonts w:hint="eastAsia" w:asciiTheme="majorEastAsia" w:hAnsiTheme="majorEastAsia" w:eastAsiaTheme="majorEastAsia" w:cstheme="minorEastAsia"/>
          <w:sz w:val="24"/>
          <w:szCs w:val="24"/>
          <w:lang w:eastAsia="zh-CN"/>
        </w:rPr>
        <w:t>材料</w:t>
      </w:r>
      <w:r>
        <w:rPr>
          <w:rFonts w:hint="eastAsia" w:asciiTheme="majorEastAsia" w:hAnsiTheme="majorEastAsia" w:eastAsiaTheme="majorEastAsia" w:cstheme="minorEastAsia"/>
          <w:sz w:val="24"/>
          <w:szCs w:val="24"/>
        </w:rPr>
        <w:t xml:space="preserve">。 </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2、提供上一年度的财务状况报告（成立不满一年不需提供）。</w:t>
      </w:r>
    </w:p>
    <w:p>
      <w:pPr>
        <w:snapToGrid w:val="0"/>
        <w:spacing w:line="360" w:lineRule="auto"/>
        <w:ind w:firstLine="480" w:firstLineChars="200"/>
        <w:rPr>
          <w:rFonts w:hint="eastAsia"/>
          <w:lang w:val="en-US" w:eastAsia="zh-CN"/>
        </w:rPr>
      </w:pPr>
      <w:r>
        <w:rPr>
          <w:rFonts w:hint="eastAsia" w:asciiTheme="majorEastAsia" w:hAnsiTheme="majorEastAsia" w:eastAsiaTheme="majorEastAsia" w:cstheme="minorEastAsia"/>
          <w:sz w:val="24"/>
          <w:szCs w:val="24"/>
        </w:rPr>
        <w:t>3、依法缴纳税收和社会保障资金的相关证明材料。</w:t>
      </w:r>
    </w:p>
    <w:p>
      <w:pPr>
        <w:snapToGrid w:val="0"/>
        <w:spacing w:line="360" w:lineRule="auto"/>
        <w:ind w:firstLine="480" w:firstLineChars="200"/>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4、提供有效的《药品生产许可证》、《药品GMP证书》、《药品注册证》或《药品注册批件》。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lang w:val="en-US" w:eastAsia="zh-CN"/>
        </w:rPr>
        <w:t>5、法定代表人参加投标的，必须提供法定代表人身份证明及法定代表人本人身份证复</w:t>
      </w:r>
      <w:r>
        <w:rPr>
          <w:rFonts w:hint="eastAsia" w:asciiTheme="majorEastAsia" w:hAnsiTheme="majorEastAsia" w:eastAsiaTheme="majorEastAsia" w:cstheme="minorEastAsia"/>
          <w:sz w:val="24"/>
          <w:szCs w:val="24"/>
          <w:highlight w:val="none"/>
          <w:lang w:val="en-US" w:eastAsia="zh-CN"/>
        </w:rPr>
        <w:t>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；非法定代表人参加投标的，必须提供法定代表人签字或盖章的授权委托书及法定代表人、授权委托人的两人身份证的复印件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，授权委托人为供应商正式人员证明材料【提供①与供应商签订的有效劳动合同复印件；②供应商为其缴纳的2021年3月-2021年8月连续六个月的社保缴费证明复印件。】。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highlight w:val="none"/>
          <w:lang w:val="en-US" w:eastAsia="zh-CN"/>
        </w:rPr>
        <w:t>6、提供</w:t>
      </w:r>
      <w:r>
        <w:rPr>
          <w:rFonts w:hint="eastAsia" w:asciiTheme="majorEastAsia" w:hAnsiTheme="majorEastAsia" w:eastAsiaTheme="majorEastAsia" w:cstheme="minorEastAsia"/>
          <w:sz w:val="24"/>
          <w:szCs w:val="24"/>
          <w:highlight w:val="none"/>
        </w:rPr>
        <w:t>《无重大违法记录声明函》。（格式参见附件）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7、提供关于资格文件的声明函</w:t>
      </w:r>
      <w:r>
        <w:rPr>
          <w:rFonts w:hint="eastAsia" w:asciiTheme="majorEastAsia" w:hAnsiTheme="majorEastAsia" w:eastAsiaTheme="majorEastAsia" w:cstheme="minorEastAsia"/>
          <w:sz w:val="24"/>
          <w:szCs w:val="24"/>
        </w:rPr>
        <w:t>。（格式参见附件）</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2"/>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w:t>
      </w: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w:t>
      </w:r>
      <w:r>
        <w:rPr>
          <w:rFonts w:hint="eastAsia" w:asciiTheme="majorEastAsia" w:hAnsiTheme="majorEastAsia" w:eastAsiaTheme="majorEastAsia" w:cstheme="minorEastAsia"/>
          <w:sz w:val="24"/>
          <w:szCs w:val="24"/>
          <w:lang w:eastAsia="zh-CN"/>
        </w:rPr>
        <w:t>内容</w:t>
      </w:r>
      <w:r>
        <w:rPr>
          <w:rFonts w:hint="eastAsia" w:asciiTheme="majorEastAsia" w:hAnsiTheme="majorEastAsia" w:eastAsiaTheme="majorEastAsia" w:cstheme="minorEastAsia"/>
          <w:sz w:val="24"/>
          <w:szCs w:val="24"/>
        </w:rPr>
        <w:t>，编制技术响应文件，不得有缺项或漏项，否则可能直接影响技术标评审的得分。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7"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注：为方便评委评审，请供应商按评分标准中所涉及的事项顺序进行编制，可以补充相关材料。</w:t>
      </w:r>
    </w:p>
    <w:p>
      <w:pPr>
        <w:snapToGrid w:val="0"/>
        <w:spacing w:line="360" w:lineRule="auto"/>
        <w:ind w:firstLine="484" w:firstLineChars="202"/>
        <w:rPr>
          <w:rFonts w:hint="eastAsia" w:asciiTheme="majorEastAsia" w:hAnsiTheme="majorEastAsia" w:eastAsiaTheme="majorEastAsia" w:cstheme="minorEastAsia"/>
          <w:b w:val="0"/>
          <w:bCs/>
          <w:sz w:val="24"/>
          <w:szCs w:val="24"/>
        </w:rPr>
      </w:pPr>
      <w:r>
        <w:rPr>
          <w:rFonts w:hint="eastAsia" w:asciiTheme="majorEastAsia" w:hAnsiTheme="majorEastAsia" w:eastAsiaTheme="majorEastAsia" w:cstheme="minorEastAsia"/>
          <w:sz w:val="24"/>
          <w:szCs w:val="24"/>
        </w:rPr>
        <w:t>【特别提醒】</w:t>
      </w:r>
      <w:r>
        <w:rPr>
          <w:rFonts w:hint="eastAsia" w:ascii="宋体" w:hAnsi="宋体" w:eastAsia="宋体" w:cs="宋体"/>
          <w:b w:val="0"/>
          <w:bCs w:val="0"/>
          <w:sz w:val="24"/>
          <w:szCs w:val="24"/>
        </w:rPr>
        <w:t>“资格审查文件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、“技术标”</w:t>
      </w:r>
      <w:r>
        <w:rPr>
          <w:rFonts w:hint="eastAsia" w:ascii="宋体" w:hAnsi="宋体" w:eastAsia="宋体" w:cs="宋体"/>
          <w:b w:val="0"/>
          <w:bCs w:val="0"/>
          <w:sz w:val="24"/>
          <w:szCs w:val="24"/>
          <w:lang w:eastAsia="zh-CN"/>
        </w:rPr>
        <w:t>所提供的材料</w:t>
      </w:r>
      <w:r>
        <w:rPr>
          <w:rFonts w:hint="eastAsia" w:ascii="宋体" w:hAnsi="宋体" w:eastAsia="宋体" w:cs="宋体"/>
          <w:b w:val="0"/>
          <w:bCs w:val="0"/>
          <w:sz w:val="24"/>
          <w:szCs w:val="24"/>
        </w:rPr>
        <w:t>涉及的相关原件请带至开标现场备查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未携带原件或因携带原件不全所引起的后果由投标人自行承担。</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2、磋商响应报价表（格式参见附件）</w:t>
      </w:r>
    </w:p>
    <w:p>
      <w:pPr>
        <w:snapToGrid w:val="0"/>
        <w:spacing w:line="360" w:lineRule="auto"/>
        <w:ind w:firstLine="484" w:firstLineChars="202"/>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3、磋商响应报价明细表</w:t>
      </w:r>
      <w:r>
        <w:rPr>
          <w:rFonts w:hint="eastAsia" w:asciiTheme="majorEastAsia" w:hAnsiTheme="majorEastAsia" w:eastAsiaTheme="majorEastAsia" w:cstheme="minorEastAsia"/>
          <w:sz w:val="24"/>
          <w:szCs w:val="24"/>
        </w:rPr>
        <w:t>（格式参见附件）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、小型、微型企业声明函（若有）（格式参见附件）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、残疾人福利性单位声明函（若有）（格式参见附件）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2"/>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lang w:eastAsia="zh-CN"/>
        </w:rPr>
        <w:t>南通市妇幼保健院</w:t>
      </w:r>
      <w:r>
        <w:rPr>
          <w:rFonts w:hint="eastAsia" w:ascii="宋体" w:hAnsi="宋体" w:eastAsia="宋体" w:cs="宋体"/>
          <w:b/>
          <w:bCs/>
          <w:sz w:val="24"/>
          <w:szCs w:val="24"/>
          <w:u w:val="single"/>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参加本项目采购活动前3年内在经营活动中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lang w:eastAsia="zh-CN"/>
        </w:rPr>
        <w:t>南通市妇幼保健院</w:t>
      </w:r>
      <w:r>
        <w:rPr>
          <w:rFonts w:hint="eastAsia" w:ascii="宋体" w:hAnsi="宋体" w:eastAsia="宋体" w:cs="宋体"/>
          <w:bCs/>
          <w:sz w:val="23"/>
          <w:szCs w:val="23"/>
        </w:rPr>
        <w:t>：</w:t>
      </w:r>
    </w:p>
    <w:p>
      <w:pPr>
        <w:pStyle w:val="10"/>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 xml:space="preserve">            </w:t>
      </w:r>
      <w:r>
        <w:rPr>
          <w:rFonts w:hint="eastAsia" w:ascii="宋体" w:hAnsi="宋体" w:eastAsia="宋体" w:cs="宋体"/>
          <w:bCs/>
          <w:szCs w:val="24"/>
        </w:rPr>
        <w:t>（项目名称)招标活动进行投标。本公司所提交的磋商响应文件中所有关于投标资格的文件、证明和陈述均是真实的、准确的。若与真实情况不符，本公司愿意承担由此而产生的一切后果。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360" w:lineRule="auto"/>
        <w:rPr>
          <w:rFonts w:ascii="宋体" w:hAnsi="宋体" w:eastAsia="宋体" w:cs="宋体"/>
          <w:bCs/>
          <w:szCs w:val="24"/>
        </w:rPr>
      </w:pPr>
      <w:r>
        <w:rPr>
          <w:rFonts w:hint="eastAsia" w:ascii="宋体" w:hAnsi="宋体" w:eastAsia="宋体" w:cs="宋体"/>
          <w:bCs/>
          <w:szCs w:val="24"/>
        </w:rPr>
        <w:t xml:space="preserve"> </w:t>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0"/>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78"/>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31"/>
        <w:gridCol w:w="862"/>
        <w:gridCol w:w="371"/>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dxa"/>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8028" w:type="dxa"/>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1" w:type="dxa"/>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7166" w:type="dxa"/>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574" w:type="dxa"/>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96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1432" w:type="dxa"/>
            <w:vAlign w:val="center"/>
          </w:tcPr>
          <w:p>
            <w:pPr>
              <w:tabs>
                <w:tab w:val="left" w:pos="4320"/>
              </w:tabs>
              <w:rPr>
                <w:rFonts w:ascii="宋体" w:hAnsi="宋体" w:eastAsia="宋体"/>
                <w:sz w:val="24"/>
                <w:szCs w:val="24"/>
              </w:rPr>
            </w:pPr>
          </w:p>
        </w:tc>
        <w:tc>
          <w:tcPr>
            <w:tcW w:w="120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1565" w:type="dxa"/>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574" w:type="dxa"/>
            <w:vMerge w:val="continue"/>
            <w:vAlign w:val="center"/>
          </w:tcPr>
          <w:p>
            <w:pPr>
              <w:tabs>
                <w:tab w:val="left" w:pos="4320"/>
              </w:tabs>
              <w:rPr>
                <w:rFonts w:ascii="宋体" w:hAnsi="宋体" w:eastAsia="宋体"/>
                <w:sz w:val="24"/>
                <w:szCs w:val="24"/>
              </w:rPr>
            </w:pPr>
          </w:p>
        </w:tc>
        <w:tc>
          <w:tcPr>
            <w:tcW w:w="960" w:type="dxa"/>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1435" w:type="dxa"/>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1664" w:type="dxa"/>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1638" w:type="dxa"/>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960" w:type="dxa"/>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4197" w:type="dxa"/>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4262" w:type="dxa"/>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97" w:type="dxa"/>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28" w:type="dxa"/>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4262" w:type="dxa"/>
            <w:gridSpan w:val="6"/>
            <w:tcBorders>
              <w:bottom w:val="double" w:color="auto" w:sz="4" w:space="0"/>
            </w:tcBorders>
            <w:vAlign w:val="center"/>
          </w:tcPr>
          <w:p>
            <w:pPr>
              <w:tabs>
                <w:tab w:val="left" w:pos="4320"/>
              </w:tabs>
              <w:rPr>
                <w:rFonts w:ascii="宋体" w:hAnsi="宋体" w:eastAsia="宋体"/>
                <w:sz w:val="24"/>
                <w:szCs w:val="24"/>
              </w:rPr>
            </w:pPr>
          </w:p>
        </w:tc>
        <w:tc>
          <w:tcPr>
            <w:tcW w:w="4197" w:type="dxa"/>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7"/>
        <w:tblW w:w="92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339"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287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2885"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1504"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1339" w:type="dxa"/>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28"/>
        <w:snapToGrid w:val="0"/>
        <w:spacing w:line="300" w:lineRule="auto"/>
        <w:contextualSpacing/>
        <w:rPr>
          <w:rFonts w:hAnsi="宋体" w:eastAsia="宋体"/>
          <w:b/>
          <w:sz w:val="24"/>
          <w:szCs w:val="24"/>
        </w:rPr>
      </w:pPr>
      <w:r>
        <w:rPr>
          <w:rFonts w:hint="eastAsia" w:hAnsi="宋体" w:eastAsia="宋体"/>
          <w:b/>
          <w:sz w:val="24"/>
          <w:szCs w:val="24"/>
        </w:rPr>
        <w:t>注：</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、供应商若提供其他增值服务，可以在表中自行据实填写。</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pStyle w:val="20"/>
        <w:rPr>
          <w:rFonts w:ascii="宋体" w:hAnsi="宋体" w:eastAsia="宋体" w:cs="宋体"/>
        </w:rPr>
      </w:pPr>
    </w:p>
    <w:p>
      <w:pPr>
        <w:snapToGrid w:val="0"/>
        <w:spacing w:afterLines="100" w:line="520" w:lineRule="exact"/>
        <w:jc w:val="center"/>
        <w:rPr>
          <w:rFonts w:ascii="宋体" w:hAnsi="宋体" w:eastAsia="宋体" w:cs="宋体"/>
          <w:b/>
          <w:sz w:val="28"/>
          <w:szCs w:val="28"/>
        </w:rPr>
      </w:pPr>
      <w:r>
        <w:rPr>
          <w:rFonts w:hint="eastAsia" w:ascii="宋体" w:hAnsi="宋体" w:eastAsia="宋体" w:cs="宋体"/>
          <w:b/>
          <w:sz w:val="28"/>
          <w:szCs w:val="28"/>
        </w:rPr>
        <w:t>磋商响应报价表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479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第二次报价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第三次报价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2"/>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0"/>
        </w:numPr>
        <w:kinsoku w:val="0"/>
        <w:topLinePunct/>
        <w:snapToGrid w:val="0"/>
        <w:spacing w:line="360" w:lineRule="auto"/>
        <w:rPr>
          <w:rFonts w:ascii="方正仿宋_GBK" w:eastAsia="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0"/>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bCs/>
          <w:sz w:val="24"/>
          <w:szCs w:val="24"/>
        </w:rPr>
        <w:t>第二次报价、第三次报价（如有）将在开标现场填写，报价响应文件密封提交时只需填写“首轮报价”</w:t>
      </w:r>
      <w:r>
        <w:rPr>
          <w:rFonts w:hint="eastAsia" w:ascii="宋体" w:hAnsi="宋体" w:eastAsia="宋体" w:cs="宋体"/>
          <w:b w:val="0"/>
          <w:bCs w:val="0"/>
          <w:sz w:val="24"/>
          <w:szCs w:val="24"/>
        </w:rPr>
        <w:t>。且第二次、第三次报价时，磋商响应报价明细表按同比例下浮。</w:t>
      </w:r>
    </w:p>
    <w:p>
      <w:pPr>
        <w:rPr>
          <w:rFonts w:ascii="宋体" w:hAnsi="宋体" w:eastAsia="宋体" w:cs="宋体"/>
          <w:sz w:val="24"/>
          <w:szCs w:val="24"/>
        </w:rPr>
      </w:pPr>
      <w:r>
        <w:rPr>
          <w:rFonts w:hint="eastAsia" w:ascii="宋体" w:hAnsi="宋体" w:eastAsia="宋体" w:cs="宋体"/>
          <w:b/>
          <w:bCs/>
          <w:sz w:val="24"/>
          <w:szCs w:val="24"/>
        </w:rPr>
        <w:br w:type="page"/>
      </w:r>
    </w:p>
    <w:p>
      <w:pPr>
        <w:kinsoku w:val="0"/>
        <w:topLinePunct/>
        <w:snapToGrid w:val="0"/>
        <w:spacing w:line="520" w:lineRule="exact"/>
        <w:jc w:val="center"/>
        <w:rPr>
          <w:rFonts w:ascii="宋体" w:hAnsi="宋体" w:eastAsia="宋体"/>
          <w:b/>
          <w:sz w:val="28"/>
          <w:szCs w:val="28"/>
        </w:rPr>
      </w:pPr>
      <w:r>
        <w:rPr>
          <w:rFonts w:hint="eastAsia" w:ascii="宋体" w:hAnsi="宋体" w:eastAsia="宋体" w:cs="宋体"/>
          <w:b/>
          <w:sz w:val="28"/>
          <w:szCs w:val="28"/>
        </w:rPr>
        <w:t>磋商响应报价</w:t>
      </w:r>
      <w:r>
        <w:rPr>
          <w:rFonts w:hint="eastAsia" w:ascii="宋体" w:hAnsi="宋体" w:eastAsia="宋体" w:cs="宋体"/>
          <w:b/>
          <w:sz w:val="28"/>
          <w:szCs w:val="28"/>
          <w:lang w:eastAsia="zh-CN"/>
        </w:rPr>
        <w:t>明细</w:t>
      </w:r>
      <w:r>
        <w:rPr>
          <w:rFonts w:hint="eastAsia" w:ascii="宋体" w:hAnsi="宋体" w:eastAsia="宋体" w:cs="宋体"/>
          <w:b/>
          <w:sz w:val="28"/>
          <w:szCs w:val="28"/>
        </w:rPr>
        <w:t>表</w:t>
      </w:r>
    </w:p>
    <w:p>
      <w:pPr>
        <w:kinsoku w:val="0"/>
        <w:topLinePunct/>
        <w:snapToGrid w:val="0"/>
        <w:spacing w:line="520" w:lineRule="exact"/>
        <w:rPr>
          <w:rFonts w:hint="eastAsia" w:ascii="宋体" w:hAnsi="宋体" w:eastAsia="宋体" w:cs="宋体"/>
          <w:sz w:val="24"/>
          <w:szCs w:val="24"/>
        </w:rPr>
      </w:pP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9"/>
        <w:gridCol w:w="2430"/>
        <w:gridCol w:w="1320"/>
        <w:gridCol w:w="1774"/>
        <w:gridCol w:w="1511"/>
        <w:gridCol w:w="15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7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4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3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5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数量（预估）</w:t>
            </w:r>
          </w:p>
        </w:tc>
        <w:tc>
          <w:tcPr>
            <w:tcW w:w="1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2940</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43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51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总价（元）：</w:t>
            </w:r>
          </w:p>
        </w:tc>
      </w:tr>
    </w:tbl>
    <w:p>
      <w:pPr>
        <w:rPr>
          <w:rFonts w:hint="eastAsia" w:ascii="宋体" w:hAnsi="宋体" w:eastAsia="宋体"/>
          <w:b/>
          <w:sz w:val="28"/>
          <w:szCs w:val="28"/>
        </w:rPr>
      </w:pPr>
    </w:p>
    <w:p>
      <w:pPr>
        <w:rPr>
          <w:rFonts w:hint="eastAsia" w:ascii="宋体" w:hAnsi="宋体" w:eastAsia="宋体"/>
          <w:b/>
          <w:sz w:val="28"/>
          <w:szCs w:val="28"/>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日期：</w:t>
      </w:r>
    </w:p>
    <w:p>
      <w:pPr>
        <w:rPr>
          <w:rFonts w:hint="eastAsia" w:ascii="宋体" w:hAnsi="宋体" w:eastAsia="宋体"/>
          <w:b/>
          <w:sz w:val="28"/>
          <w:szCs w:val="28"/>
        </w:rPr>
      </w:pPr>
    </w:p>
    <w:p>
      <w:pPr>
        <w:numPr>
          <w:ilvl w:val="0"/>
          <w:numId w:val="0"/>
        </w:numPr>
        <w:kinsoku w:val="0"/>
        <w:topLinePunct/>
        <w:snapToGrid w:val="0"/>
        <w:spacing w:line="360" w:lineRule="auto"/>
        <w:rPr>
          <w:rFonts w:hint="eastAsia" w:ascii="宋体" w:hAnsi="宋体" w:eastAsia="宋体"/>
          <w:b/>
          <w:sz w:val="28"/>
          <w:szCs w:val="28"/>
        </w:rPr>
      </w:pPr>
      <w:r>
        <w:rPr>
          <w:rFonts w:hint="eastAsia" w:ascii="宋体" w:hAnsi="宋体" w:eastAsia="宋体"/>
          <w:b/>
          <w:sz w:val="28"/>
          <w:szCs w:val="28"/>
        </w:rPr>
        <w:br w:type="page"/>
      </w:r>
    </w:p>
    <w:p>
      <w:pPr>
        <w:spacing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2"/>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304" w:right="1417" w:bottom="1304"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方正仿宋_GBK">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AF12"/>
    <w:multiLevelType w:val="singleLevel"/>
    <w:tmpl w:val="4D28AF12"/>
    <w:lvl w:ilvl="0" w:tentative="0">
      <w:start w:val="1"/>
      <w:numFmt w:val="ideographTraditional"/>
      <w:suff w:val="nothing"/>
      <w:lvlText w:val="%1、"/>
      <w:lvlJc w:val="left"/>
      <w:rPr>
        <w:rFonts w:hint="eastAsia"/>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HorizontalSpacing w:val="119"/>
  <w:drawingGridVerticalSpacing w:val="19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200"/>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956EE8"/>
    <w:rsid w:val="02691BF4"/>
    <w:rsid w:val="02722DB7"/>
    <w:rsid w:val="02813929"/>
    <w:rsid w:val="02814C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5F30315"/>
    <w:rsid w:val="0602185E"/>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24561"/>
    <w:rsid w:val="11956DB9"/>
    <w:rsid w:val="11972241"/>
    <w:rsid w:val="11A02C0B"/>
    <w:rsid w:val="11C0331A"/>
    <w:rsid w:val="126342DC"/>
    <w:rsid w:val="126A3CE5"/>
    <w:rsid w:val="12804EC3"/>
    <w:rsid w:val="12B9724A"/>
    <w:rsid w:val="12ED108C"/>
    <w:rsid w:val="131F5F39"/>
    <w:rsid w:val="133A4BEB"/>
    <w:rsid w:val="134176DB"/>
    <w:rsid w:val="13627322"/>
    <w:rsid w:val="13743D71"/>
    <w:rsid w:val="13753078"/>
    <w:rsid w:val="13876133"/>
    <w:rsid w:val="139D423C"/>
    <w:rsid w:val="139E459A"/>
    <w:rsid w:val="13DA36B2"/>
    <w:rsid w:val="14076394"/>
    <w:rsid w:val="14112A49"/>
    <w:rsid w:val="143E021E"/>
    <w:rsid w:val="14674D59"/>
    <w:rsid w:val="148E216F"/>
    <w:rsid w:val="14A254B8"/>
    <w:rsid w:val="14BC5E70"/>
    <w:rsid w:val="14C672CD"/>
    <w:rsid w:val="14DE2975"/>
    <w:rsid w:val="15013288"/>
    <w:rsid w:val="150C509E"/>
    <w:rsid w:val="15164B5B"/>
    <w:rsid w:val="155E27BE"/>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7DD7C1B"/>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595DFF"/>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567115"/>
    <w:rsid w:val="1E634E61"/>
    <w:rsid w:val="1E67593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072C1"/>
    <w:rsid w:val="22F418E1"/>
    <w:rsid w:val="22FB2088"/>
    <w:rsid w:val="230A71CF"/>
    <w:rsid w:val="23112E7E"/>
    <w:rsid w:val="23576F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EE4A55"/>
    <w:rsid w:val="24F84BD0"/>
    <w:rsid w:val="250D607D"/>
    <w:rsid w:val="25164C41"/>
    <w:rsid w:val="25201620"/>
    <w:rsid w:val="253E5182"/>
    <w:rsid w:val="25537B5A"/>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1A594F"/>
    <w:rsid w:val="2A4A7932"/>
    <w:rsid w:val="2A5C63A7"/>
    <w:rsid w:val="2A6D6F90"/>
    <w:rsid w:val="2A864C63"/>
    <w:rsid w:val="2AA00028"/>
    <w:rsid w:val="2AB45DF7"/>
    <w:rsid w:val="2AB82483"/>
    <w:rsid w:val="2AD9619B"/>
    <w:rsid w:val="2AE13145"/>
    <w:rsid w:val="2AE40EA9"/>
    <w:rsid w:val="2AFC6512"/>
    <w:rsid w:val="2B186F23"/>
    <w:rsid w:val="2B195459"/>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7F40748"/>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E25AD"/>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BF42B8C"/>
    <w:rsid w:val="3C401E1A"/>
    <w:rsid w:val="3C980B42"/>
    <w:rsid w:val="3C980E12"/>
    <w:rsid w:val="3CA778D9"/>
    <w:rsid w:val="3CAD4F6F"/>
    <w:rsid w:val="3CDF06E2"/>
    <w:rsid w:val="3CDF74BE"/>
    <w:rsid w:val="3CEC33EC"/>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F641E3"/>
    <w:rsid w:val="49041B1F"/>
    <w:rsid w:val="49143F28"/>
    <w:rsid w:val="491C4DB9"/>
    <w:rsid w:val="493E7D1C"/>
    <w:rsid w:val="498052E2"/>
    <w:rsid w:val="49837572"/>
    <w:rsid w:val="498B75D3"/>
    <w:rsid w:val="49967D39"/>
    <w:rsid w:val="4A327118"/>
    <w:rsid w:val="4A405D7D"/>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CF813FD"/>
    <w:rsid w:val="4D230C0D"/>
    <w:rsid w:val="4D4E7CD3"/>
    <w:rsid w:val="4D7F3996"/>
    <w:rsid w:val="4DB43701"/>
    <w:rsid w:val="4DDD23AC"/>
    <w:rsid w:val="4DEF4CFA"/>
    <w:rsid w:val="4DF31C11"/>
    <w:rsid w:val="4DFD2351"/>
    <w:rsid w:val="4E0A160C"/>
    <w:rsid w:val="4E2B1A47"/>
    <w:rsid w:val="4E432C41"/>
    <w:rsid w:val="4EAE59CD"/>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856658"/>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1E316D"/>
    <w:rsid w:val="54203525"/>
    <w:rsid w:val="545661A8"/>
    <w:rsid w:val="54847625"/>
    <w:rsid w:val="54917626"/>
    <w:rsid w:val="54B0541D"/>
    <w:rsid w:val="54B247BB"/>
    <w:rsid w:val="54EE594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AA18F9"/>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AF042D4"/>
    <w:rsid w:val="5B4051A5"/>
    <w:rsid w:val="5B7C29AB"/>
    <w:rsid w:val="5B986277"/>
    <w:rsid w:val="5C0105A7"/>
    <w:rsid w:val="5C1B5746"/>
    <w:rsid w:val="5C320050"/>
    <w:rsid w:val="5C494700"/>
    <w:rsid w:val="5C4B40E5"/>
    <w:rsid w:val="5C790E14"/>
    <w:rsid w:val="5C8A3BC2"/>
    <w:rsid w:val="5CC43B58"/>
    <w:rsid w:val="5CDC0284"/>
    <w:rsid w:val="5D2B07EE"/>
    <w:rsid w:val="5D48016A"/>
    <w:rsid w:val="5D4E7825"/>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3EE1044"/>
    <w:rsid w:val="64017CDA"/>
    <w:rsid w:val="64144F00"/>
    <w:rsid w:val="64507592"/>
    <w:rsid w:val="64803237"/>
    <w:rsid w:val="64AC3D58"/>
    <w:rsid w:val="64E96AEB"/>
    <w:rsid w:val="6504662D"/>
    <w:rsid w:val="657B44FB"/>
    <w:rsid w:val="658D46CF"/>
    <w:rsid w:val="65DF67CB"/>
    <w:rsid w:val="65ED6EB4"/>
    <w:rsid w:val="660447FF"/>
    <w:rsid w:val="66194C4A"/>
    <w:rsid w:val="662863D0"/>
    <w:rsid w:val="66305190"/>
    <w:rsid w:val="66384AA8"/>
    <w:rsid w:val="665E5B1B"/>
    <w:rsid w:val="668003E0"/>
    <w:rsid w:val="66B17443"/>
    <w:rsid w:val="66E77CD1"/>
    <w:rsid w:val="67397DB3"/>
    <w:rsid w:val="6750430A"/>
    <w:rsid w:val="676F4A49"/>
    <w:rsid w:val="67822E29"/>
    <w:rsid w:val="67976253"/>
    <w:rsid w:val="67A337F5"/>
    <w:rsid w:val="67A46D34"/>
    <w:rsid w:val="67C933E3"/>
    <w:rsid w:val="67E0003B"/>
    <w:rsid w:val="67F05320"/>
    <w:rsid w:val="685A3C7C"/>
    <w:rsid w:val="68732E59"/>
    <w:rsid w:val="6880447B"/>
    <w:rsid w:val="688C6207"/>
    <w:rsid w:val="68A8404F"/>
    <w:rsid w:val="68E00D94"/>
    <w:rsid w:val="68F331B5"/>
    <w:rsid w:val="69086590"/>
    <w:rsid w:val="690960EE"/>
    <w:rsid w:val="695B3155"/>
    <w:rsid w:val="69743B79"/>
    <w:rsid w:val="69856A65"/>
    <w:rsid w:val="69A04E34"/>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BA53EC"/>
    <w:rsid w:val="6BCA5871"/>
    <w:rsid w:val="6BDA5644"/>
    <w:rsid w:val="6BED3E27"/>
    <w:rsid w:val="6BF4693D"/>
    <w:rsid w:val="6BFB01BD"/>
    <w:rsid w:val="6BFE5EAF"/>
    <w:rsid w:val="6C155E31"/>
    <w:rsid w:val="6C1A746E"/>
    <w:rsid w:val="6C1D722B"/>
    <w:rsid w:val="6C2161AA"/>
    <w:rsid w:val="6C3E41ED"/>
    <w:rsid w:val="6C4677E8"/>
    <w:rsid w:val="6CA25869"/>
    <w:rsid w:val="6CC32924"/>
    <w:rsid w:val="6CCC42B0"/>
    <w:rsid w:val="6CE3660D"/>
    <w:rsid w:val="6D154FB5"/>
    <w:rsid w:val="6D653588"/>
    <w:rsid w:val="6D760601"/>
    <w:rsid w:val="6D887135"/>
    <w:rsid w:val="6DA14A3B"/>
    <w:rsid w:val="6DB86003"/>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2B2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114271"/>
    <w:rsid w:val="733B61CF"/>
    <w:rsid w:val="73546BA4"/>
    <w:rsid w:val="7360734D"/>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235950"/>
    <w:rsid w:val="753B039A"/>
    <w:rsid w:val="753B4B58"/>
    <w:rsid w:val="756A2B2A"/>
    <w:rsid w:val="757F689B"/>
    <w:rsid w:val="758768A9"/>
    <w:rsid w:val="75BF5554"/>
    <w:rsid w:val="763368A0"/>
    <w:rsid w:val="76522B4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2A0224"/>
    <w:rsid w:val="7A3050AA"/>
    <w:rsid w:val="7A4853B8"/>
    <w:rsid w:val="7A4A7CA7"/>
    <w:rsid w:val="7A714CE7"/>
    <w:rsid w:val="7A7F48E8"/>
    <w:rsid w:val="7A7F6691"/>
    <w:rsid w:val="7A9221EA"/>
    <w:rsid w:val="7AA36CA7"/>
    <w:rsid w:val="7AE922FC"/>
    <w:rsid w:val="7AF64447"/>
    <w:rsid w:val="7B2565F7"/>
    <w:rsid w:val="7B341E1B"/>
    <w:rsid w:val="7B5F0EA3"/>
    <w:rsid w:val="7B62085C"/>
    <w:rsid w:val="7B66517C"/>
    <w:rsid w:val="7B7656D4"/>
    <w:rsid w:val="7B994A47"/>
    <w:rsid w:val="7BAA7EB8"/>
    <w:rsid w:val="7BC45E5D"/>
    <w:rsid w:val="7BCD4C49"/>
    <w:rsid w:val="7BD40DAA"/>
    <w:rsid w:val="7BE26A40"/>
    <w:rsid w:val="7BE941A7"/>
    <w:rsid w:val="7BEB6EFF"/>
    <w:rsid w:val="7BFDE0F4"/>
    <w:rsid w:val="7C0269F8"/>
    <w:rsid w:val="7C2B0845"/>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BE44D9"/>
    <w:rsid w:val="7FC10CFD"/>
    <w:rsid w:val="7FC63E44"/>
    <w:rsid w:val="7FD422D8"/>
    <w:rsid w:val="7FD56D64"/>
    <w:rsid w:val="7FD57E32"/>
    <w:rsid w:val="7FF3207B"/>
    <w:rsid w:val="7FF51362"/>
    <w:rsid w:val="FFDFA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7"/>
    <w:qFormat/>
    <w:uiPriority w:val="0"/>
    <w:pPr>
      <w:keepNext/>
      <w:keepLines/>
      <w:spacing w:line="578" w:lineRule="auto"/>
      <w:outlineLvl w:val="0"/>
    </w:pPr>
    <w:rPr>
      <w:b/>
      <w:bCs/>
      <w:kern w:val="44"/>
      <w:sz w:val="44"/>
      <w:szCs w:val="44"/>
    </w:rPr>
  </w:style>
  <w:style w:type="paragraph" w:styleId="6">
    <w:name w:val="heading 2"/>
    <w:basedOn w:val="1"/>
    <w:next w:val="1"/>
    <w:link w:val="78"/>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paragraph" w:styleId="3">
    <w:name w:val="Body Text Indent"/>
    <w:basedOn w:val="1"/>
    <w:next w:val="4"/>
    <w:link w:val="89"/>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1"/>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7"/>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5"/>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8"/>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90"/>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1"/>
    <w:qFormat/>
    <w:uiPriority w:val="0"/>
    <w:rPr>
      <w:kern w:val="0"/>
      <w:sz w:val="20"/>
    </w:rPr>
  </w:style>
  <w:style w:type="paragraph" w:styleId="32">
    <w:name w:val="Body Text Indent 2"/>
    <w:basedOn w:val="1"/>
    <w:link w:val="92"/>
    <w:qFormat/>
    <w:uiPriority w:val="0"/>
    <w:pPr>
      <w:tabs>
        <w:tab w:val="left" w:pos="0"/>
      </w:tabs>
      <w:spacing w:line="360" w:lineRule="auto"/>
      <w:ind w:firstLine="502" w:firstLineChars="209"/>
    </w:pPr>
    <w:rPr>
      <w:kern w:val="0"/>
      <w:sz w:val="20"/>
    </w:rPr>
  </w:style>
  <w:style w:type="paragraph" w:styleId="33">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3"/>
    <w:qFormat/>
    <w:uiPriority w:val="0"/>
    <w:rPr>
      <w:kern w:val="0"/>
      <w:sz w:val="2"/>
    </w:rPr>
  </w:style>
  <w:style w:type="paragraph" w:styleId="35">
    <w:name w:val="footer"/>
    <w:basedOn w:val="1"/>
    <w:link w:val="94"/>
    <w:qFormat/>
    <w:uiPriority w:val="0"/>
    <w:pPr>
      <w:tabs>
        <w:tab w:val="center" w:pos="4153"/>
        <w:tab w:val="right" w:pos="8306"/>
      </w:tabs>
      <w:snapToGrid w:val="0"/>
      <w:jc w:val="left"/>
    </w:pPr>
    <w:rPr>
      <w:kern w:val="0"/>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6"/>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7"/>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6"/>
    <w:semiHidden/>
    <w:qFormat/>
    <w:uiPriority w:val="99"/>
    <w:rPr>
      <w:b/>
      <w:bCs/>
      <w:sz w:val="20"/>
    </w:rPr>
  </w:style>
  <w:style w:type="paragraph" w:styleId="56">
    <w:name w:val="Body Text First Indent"/>
    <w:basedOn w:val="24"/>
    <w:link w:val="147"/>
    <w:qFormat/>
    <w:locked/>
    <w:uiPriority w:val="0"/>
    <w:pPr>
      <w:widowControl/>
      <w:spacing w:after="120" w:line="240" w:lineRule="auto"/>
      <w:ind w:firstLine="420" w:firstLineChars="100"/>
      <w:jc w:val="left"/>
    </w:pPr>
    <w:rPr>
      <w:rFonts w:eastAsia="宋体"/>
      <w:sz w:val="21"/>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endnote reference"/>
    <w:qFormat/>
    <w:locked/>
    <w:uiPriority w:val="0"/>
    <w:rPr>
      <w:vertAlign w:val="superscript"/>
    </w:rPr>
  </w:style>
  <w:style w:type="character" w:styleId="62">
    <w:name w:val="page number"/>
    <w:basedOn w:val="59"/>
    <w:qFormat/>
    <w:uiPriority w:val="0"/>
    <w:rPr>
      <w:rFonts w:cs="Times New Roman"/>
    </w:rPr>
  </w:style>
  <w:style w:type="character" w:styleId="63">
    <w:name w:val="FollowedHyperlink"/>
    <w:basedOn w:val="59"/>
    <w:qFormat/>
    <w:uiPriority w:val="0"/>
    <w:rPr>
      <w:rFonts w:cs="Times New Roman"/>
      <w:color w:val="954F72"/>
      <w:u w:val="single"/>
    </w:rPr>
  </w:style>
  <w:style w:type="character" w:styleId="64">
    <w:name w:val="Emphasis"/>
    <w:basedOn w:val="59"/>
    <w:qFormat/>
    <w:uiPriority w:val="99"/>
    <w:rPr>
      <w:rFonts w:cs="Times New Roman"/>
      <w:i/>
    </w:rPr>
  </w:style>
  <w:style w:type="character" w:styleId="65">
    <w:name w:val="line number"/>
    <w:basedOn w:val="59"/>
    <w:qFormat/>
    <w:uiPriority w:val="0"/>
    <w:rPr>
      <w:rFonts w:cs="Times New Roman"/>
    </w:rPr>
  </w:style>
  <w:style w:type="character" w:styleId="66">
    <w:name w:val="HTML Definition"/>
    <w:basedOn w:val="59"/>
    <w:qFormat/>
    <w:uiPriority w:val="99"/>
    <w:rPr>
      <w:rFonts w:cs="Times New Roman"/>
      <w:i/>
    </w:rPr>
  </w:style>
  <w:style w:type="character" w:styleId="67">
    <w:name w:val="Hyperlink"/>
    <w:basedOn w:val="59"/>
    <w:qFormat/>
    <w:uiPriority w:val="0"/>
    <w:rPr>
      <w:rFonts w:cs="Times New Roman"/>
      <w:color w:val="0000FF"/>
      <w:u w:val="single"/>
    </w:rPr>
  </w:style>
  <w:style w:type="character" w:styleId="68">
    <w:name w:val="HTML Code"/>
    <w:basedOn w:val="59"/>
    <w:qFormat/>
    <w:uiPriority w:val="99"/>
    <w:rPr>
      <w:rFonts w:ascii="Menlo" w:hAnsi="Menlo" w:cs="Times New Roman"/>
      <w:color w:val="C7254E"/>
      <w:sz w:val="21"/>
      <w:shd w:val="clear" w:color="auto" w:fill="F9F2F4"/>
    </w:rPr>
  </w:style>
  <w:style w:type="character" w:styleId="69">
    <w:name w:val="annotation reference"/>
    <w:basedOn w:val="59"/>
    <w:semiHidden/>
    <w:qFormat/>
    <w:uiPriority w:val="99"/>
    <w:rPr>
      <w:rFonts w:cs="Times New Roman"/>
      <w:sz w:val="21"/>
    </w:rPr>
  </w:style>
  <w:style w:type="character" w:styleId="70">
    <w:name w:val="HTML Cite"/>
    <w:basedOn w:val="59"/>
    <w:qFormat/>
    <w:uiPriority w:val="99"/>
    <w:rPr>
      <w:rFonts w:cs="Times New Roman"/>
    </w:rPr>
  </w:style>
  <w:style w:type="character" w:styleId="71">
    <w:name w:val="footnote reference"/>
    <w:basedOn w:val="59"/>
    <w:semiHidden/>
    <w:qFormat/>
    <w:uiPriority w:val="99"/>
    <w:rPr>
      <w:rFonts w:cs="Times New Roman"/>
      <w:vertAlign w:val="superscript"/>
    </w:rPr>
  </w:style>
  <w:style w:type="character" w:styleId="72">
    <w:name w:val="HTML Keyboard"/>
    <w:basedOn w:val="59"/>
    <w:qFormat/>
    <w:uiPriority w:val="99"/>
    <w:rPr>
      <w:rFonts w:ascii="Menlo" w:hAnsi="Menlo" w:cs="Times New Roman"/>
      <w:sz w:val="21"/>
    </w:rPr>
  </w:style>
  <w:style w:type="character" w:styleId="73">
    <w:name w:val="HTML Sample"/>
    <w:basedOn w:val="59"/>
    <w:qFormat/>
    <w:uiPriority w:val="99"/>
    <w:rPr>
      <w:rFonts w:ascii="Menlo" w:hAnsi="Menlo" w:cs="Times New Roman"/>
      <w:sz w:val="21"/>
    </w:rPr>
  </w:style>
  <w:style w:type="paragraph" w:customStyle="1" w:styleId="7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正文文本首行缩进 2"/>
    <w:basedOn w:val="3"/>
    <w:unhideWhenUsed/>
    <w:qFormat/>
    <w:uiPriority w:val="99"/>
    <w:pPr>
      <w:ind w:firstLine="420" w:firstLineChars="200"/>
    </w:pPr>
    <w:rPr>
      <w:rFonts w:ascii="Calibri" w:hAnsi="Calibri"/>
      <w:szCs w:val="26"/>
    </w:rPr>
  </w:style>
  <w:style w:type="paragraph" w:customStyle="1" w:styleId="76">
    <w:name w:val="正文文本首行缩进 21"/>
    <w:basedOn w:val="3"/>
    <w:unhideWhenUsed/>
    <w:qFormat/>
    <w:uiPriority w:val="99"/>
    <w:pPr>
      <w:ind w:firstLine="420" w:firstLineChars="200"/>
    </w:pPr>
    <w:rPr>
      <w:rFonts w:ascii="Calibri" w:hAnsi="Calibri"/>
      <w:szCs w:val="26"/>
    </w:rPr>
  </w:style>
  <w:style w:type="character" w:customStyle="1" w:styleId="77">
    <w:name w:val="标题 1 Char"/>
    <w:basedOn w:val="59"/>
    <w:link w:val="5"/>
    <w:qFormat/>
    <w:locked/>
    <w:uiPriority w:val="99"/>
    <w:rPr>
      <w:rFonts w:eastAsia="楷体_GB2312" w:cs="Times New Roman"/>
      <w:b/>
      <w:kern w:val="44"/>
      <w:sz w:val="44"/>
    </w:rPr>
  </w:style>
  <w:style w:type="character" w:customStyle="1" w:styleId="78">
    <w:name w:val="标题 2 Char"/>
    <w:basedOn w:val="59"/>
    <w:link w:val="6"/>
    <w:qFormat/>
    <w:locked/>
    <w:uiPriority w:val="99"/>
    <w:rPr>
      <w:rFonts w:ascii="宋体" w:hAnsi="宋体" w:eastAsia="楷体_GB2312" w:cs="Times New Roman"/>
      <w:b/>
      <w:kern w:val="2"/>
      <w:sz w:val="26"/>
      <w:lang w:val="en-US" w:eastAsia="zh-CN"/>
    </w:rPr>
  </w:style>
  <w:style w:type="character" w:customStyle="1" w:styleId="79">
    <w:name w:val="标题 3 Char"/>
    <w:basedOn w:val="59"/>
    <w:link w:val="7"/>
    <w:semiHidden/>
    <w:qFormat/>
    <w:locked/>
    <w:uiPriority w:val="99"/>
    <w:rPr>
      <w:rFonts w:eastAsia="楷体_GB2312" w:cs="Times New Roman"/>
      <w:b/>
      <w:sz w:val="32"/>
    </w:rPr>
  </w:style>
  <w:style w:type="character" w:customStyle="1" w:styleId="80">
    <w:name w:val="标题 5 Char"/>
    <w:basedOn w:val="59"/>
    <w:link w:val="9"/>
    <w:semiHidden/>
    <w:qFormat/>
    <w:locked/>
    <w:uiPriority w:val="99"/>
    <w:rPr>
      <w:rFonts w:eastAsia="楷体_GB2312" w:cs="Times New Roman"/>
      <w:b/>
      <w:sz w:val="28"/>
    </w:rPr>
  </w:style>
  <w:style w:type="character" w:customStyle="1" w:styleId="81">
    <w:name w:val="标题 6 Char"/>
    <w:basedOn w:val="59"/>
    <w:link w:val="11"/>
    <w:semiHidden/>
    <w:qFormat/>
    <w:locked/>
    <w:uiPriority w:val="99"/>
    <w:rPr>
      <w:rFonts w:ascii="Cambria" w:hAnsi="Cambria" w:eastAsia="宋体" w:cs="Times New Roman"/>
      <w:b/>
      <w:sz w:val="24"/>
    </w:rPr>
  </w:style>
  <w:style w:type="character" w:customStyle="1" w:styleId="82">
    <w:name w:val="标题 7 Char"/>
    <w:basedOn w:val="59"/>
    <w:link w:val="12"/>
    <w:semiHidden/>
    <w:qFormat/>
    <w:locked/>
    <w:uiPriority w:val="99"/>
    <w:rPr>
      <w:rFonts w:eastAsia="楷体_GB2312" w:cs="Times New Roman"/>
      <w:b/>
      <w:sz w:val="24"/>
    </w:rPr>
  </w:style>
  <w:style w:type="character" w:customStyle="1" w:styleId="83">
    <w:name w:val="标题 8 Char"/>
    <w:basedOn w:val="59"/>
    <w:link w:val="13"/>
    <w:semiHidden/>
    <w:qFormat/>
    <w:locked/>
    <w:uiPriority w:val="99"/>
    <w:rPr>
      <w:rFonts w:ascii="Cambria" w:hAnsi="Cambria" w:eastAsia="宋体" w:cs="Times New Roman"/>
      <w:sz w:val="24"/>
    </w:rPr>
  </w:style>
  <w:style w:type="character" w:customStyle="1" w:styleId="84">
    <w:name w:val="标题 9 Char"/>
    <w:basedOn w:val="59"/>
    <w:link w:val="14"/>
    <w:semiHidden/>
    <w:qFormat/>
    <w:locked/>
    <w:uiPriority w:val="99"/>
    <w:rPr>
      <w:rFonts w:ascii="Cambria" w:hAnsi="Cambria" w:eastAsia="宋体" w:cs="Times New Roman"/>
      <w:sz w:val="21"/>
    </w:rPr>
  </w:style>
  <w:style w:type="character" w:customStyle="1" w:styleId="85">
    <w:name w:val="批注文字 Char"/>
    <w:basedOn w:val="59"/>
    <w:link w:val="21"/>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59"/>
    <w:link w:val="19"/>
    <w:semiHidden/>
    <w:qFormat/>
    <w:locked/>
    <w:uiPriority w:val="99"/>
    <w:rPr>
      <w:rFonts w:eastAsia="楷体_GB2312" w:cs="Times New Roman"/>
      <w:sz w:val="2"/>
    </w:rPr>
  </w:style>
  <w:style w:type="character" w:customStyle="1" w:styleId="88">
    <w:name w:val="正文文本 Char"/>
    <w:basedOn w:val="59"/>
    <w:link w:val="24"/>
    <w:qFormat/>
    <w:locked/>
    <w:uiPriority w:val="0"/>
    <w:rPr>
      <w:rFonts w:eastAsia="楷体_GB2312" w:cs="Times New Roman"/>
      <w:sz w:val="20"/>
    </w:rPr>
  </w:style>
  <w:style w:type="character" w:customStyle="1" w:styleId="89">
    <w:name w:val="正文文本缩进 Char"/>
    <w:basedOn w:val="59"/>
    <w:link w:val="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59"/>
    <w:link w:val="28"/>
    <w:qFormat/>
    <w:locked/>
    <w:uiPriority w:val="0"/>
    <w:rPr>
      <w:rFonts w:ascii="宋体" w:hAnsi="Courier New" w:eastAsia="楷体_GB2312" w:cs="Times New Roman"/>
      <w:kern w:val="2"/>
      <w:sz w:val="26"/>
      <w:lang w:val="en-US" w:eastAsia="zh-CN"/>
    </w:rPr>
  </w:style>
  <w:style w:type="character" w:customStyle="1" w:styleId="91">
    <w:name w:val="日期 Char"/>
    <w:basedOn w:val="59"/>
    <w:link w:val="31"/>
    <w:qFormat/>
    <w:locked/>
    <w:uiPriority w:val="0"/>
    <w:rPr>
      <w:rFonts w:eastAsia="楷体_GB2312" w:cs="Times New Roman"/>
      <w:sz w:val="20"/>
    </w:rPr>
  </w:style>
  <w:style w:type="character" w:customStyle="1" w:styleId="92">
    <w:name w:val="正文文本缩进 2 Char"/>
    <w:basedOn w:val="59"/>
    <w:link w:val="32"/>
    <w:semiHidden/>
    <w:qFormat/>
    <w:locked/>
    <w:uiPriority w:val="99"/>
    <w:rPr>
      <w:rFonts w:eastAsia="楷体_GB2312" w:cs="Times New Roman"/>
      <w:sz w:val="20"/>
    </w:rPr>
  </w:style>
  <w:style w:type="character" w:customStyle="1" w:styleId="93">
    <w:name w:val="批注框文本 Char"/>
    <w:basedOn w:val="59"/>
    <w:link w:val="34"/>
    <w:semiHidden/>
    <w:qFormat/>
    <w:locked/>
    <w:uiPriority w:val="99"/>
    <w:rPr>
      <w:rFonts w:eastAsia="楷体_GB2312" w:cs="Times New Roman"/>
      <w:sz w:val="2"/>
    </w:rPr>
  </w:style>
  <w:style w:type="character" w:customStyle="1" w:styleId="94">
    <w:name w:val="页脚 Char"/>
    <w:basedOn w:val="59"/>
    <w:link w:val="35"/>
    <w:qFormat/>
    <w:locked/>
    <w:uiPriority w:val="0"/>
    <w:rPr>
      <w:rFonts w:eastAsia="楷体_GB2312" w:cs="Times New Roman"/>
      <w:sz w:val="18"/>
    </w:rPr>
  </w:style>
  <w:style w:type="character" w:customStyle="1" w:styleId="95">
    <w:name w:val="页眉 Char"/>
    <w:basedOn w:val="59"/>
    <w:link w:val="36"/>
    <w:qFormat/>
    <w:locked/>
    <w:uiPriority w:val="99"/>
    <w:rPr>
      <w:rFonts w:eastAsia="楷体_GB2312" w:cs="Times New Roman"/>
      <w:kern w:val="2"/>
      <w:sz w:val="18"/>
    </w:rPr>
  </w:style>
  <w:style w:type="character" w:customStyle="1" w:styleId="96">
    <w:name w:val="脚注文本 Char"/>
    <w:basedOn w:val="59"/>
    <w:link w:val="42"/>
    <w:semiHidden/>
    <w:qFormat/>
    <w:locked/>
    <w:uiPriority w:val="99"/>
    <w:rPr>
      <w:rFonts w:eastAsia="楷体_GB2312" w:cs="Times New Roman"/>
      <w:sz w:val="18"/>
    </w:rPr>
  </w:style>
  <w:style w:type="character" w:customStyle="1" w:styleId="97">
    <w:name w:val="正文文本缩进 3 Char"/>
    <w:basedOn w:val="59"/>
    <w:link w:val="44"/>
    <w:qFormat/>
    <w:locked/>
    <w:uiPriority w:val="0"/>
    <w:rPr>
      <w:rFonts w:eastAsia="楷体_GB2312" w:cs="Times New Roman"/>
      <w:sz w:val="16"/>
    </w:rPr>
  </w:style>
  <w:style w:type="character" w:customStyle="1" w:styleId="98">
    <w:name w:val="HTML 预设格式 Char"/>
    <w:basedOn w:val="59"/>
    <w:link w:val="51"/>
    <w:semiHidden/>
    <w:qFormat/>
    <w:locked/>
    <w:uiPriority w:val="99"/>
    <w:rPr>
      <w:rFonts w:ascii="Courier New" w:hAnsi="Courier New" w:eastAsia="楷体_GB2312" w:cs="Times New Roman"/>
      <w:sz w:val="20"/>
    </w:rPr>
  </w:style>
  <w:style w:type="character" w:customStyle="1" w:styleId="99">
    <w:name w:val="标题 Char"/>
    <w:basedOn w:val="59"/>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10"/>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4"/>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6"/>
    <w:qFormat/>
    <w:uiPriority w:val="99"/>
    <w:pPr>
      <w:spacing w:line="360" w:lineRule="auto"/>
    </w:pPr>
    <w:rPr>
      <w:rFonts w:eastAsia="宋体" w:cs="宋体"/>
      <w:color w:val="000000"/>
    </w:rPr>
  </w:style>
  <w:style w:type="character" w:customStyle="1" w:styleId="135">
    <w:name w:val="font11"/>
    <w:basedOn w:val="59"/>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59"/>
    <w:link w:val="50"/>
    <w:qFormat/>
    <w:uiPriority w:val="0"/>
    <w:rPr>
      <w:rFonts w:ascii="仿宋_GB2312" w:eastAsia="仿宋_GB2312"/>
      <w:sz w:val="24"/>
      <w:szCs w:val="24"/>
    </w:rPr>
  </w:style>
  <w:style w:type="character" w:customStyle="1" w:styleId="146">
    <w:name w:val="正文文本 3 Char"/>
    <w:basedOn w:val="59"/>
    <w:link w:val="23"/>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59"/>
    <w:link w:val="41"/>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59"/>
    <w:link w:val="33"/>
    <w:semiHidden/>
    <w:qFormat/>
    <w:uiPriority w:val="99"/>
    <w:rPr>
      <w:rFonts w:eastAsia="楷体_GB2312"/>
      <w:kern w:val="2"/>
      <w:sz w:val="26"/>
    </w:rPr>
  </w:style>
  <w:style w:type="character" w:customStyle="1" w:styleId="152">
    <w:name w:val="正文首行缩进 2 Char1"/>
    <w:basedOn w:val="89"/>
    <w:link w:val="2"/>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19"/>
    <w:next w:val="1"/>
    <w:qFormat/>
    <w:uiPriority w:val="0"/>
    <w:rPr>
      <w:rFonts w:ascii="Tahoma" w:hAnsi="Tahoma" w:eastAsia="宋体"/>
      <w:kern w:val="2"/>
      <w:sz w:val="24"/>
      <w:szCs w:val="24"/>
    </w:rPr>
  </w:style>
  <w:style w:type="paragraph" w:customStyle="1" w:styleId="158">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59"/>
    <w:qFormat/>
    <w:uiPriority w:val="0"/>
    <w:rPr>
      <w:rFonts w:eastAsia="黑体"/>
      <w:b/>
      <w:bCs/>
      <w:sz w:val="24"/>
    </w:rPr>
  </w:style>
  <w:style w:type="paragraph" w:customStyle="1" w:styleId="176">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43</Pages>
  <Words>20374</Words>
  <Characters>20918</Characters>
  <Lines>145</Lines>
  <Paragraphs>40</Paragraphs>
  <TotalTime>16</TotalTime>
  <ScaleCrop>false</ScaleCrop>
  <LinksUpToDate>false</LinksUpToDate>
  <CharactersWithSpaces>22046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2020-11-26T13:58:00Z</dcterms:created>
  <dc:creator>gt2017020601</dc:creator>
  <cp:lastModifiedBy>gt2017020601</cp:lastModifiedBy>
  <cp:lastPrinted>2021-10-06T07:51:00Z</cp:lastPrinted>
  <dcterms:modified xsi:type="dcterms:W3CDTF">2021-11-09T07:46:18Z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0D79DA58C3D7438694E5CA02FBB48530</vt:lpwstr>
  </property>
</Properties>
</file>