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asciiTheme="majorEastAsia" w:hAnsiTheme="majorEastAsia" w:eastAsiaTheme="majorEastAsia" w:cstheme="minorEastAsia"/>
        </w:rPr>
      </w:pPr>
    </w:p>
    <w:p>
      <w:pPr>
        <w:pStyle w:val="56"/>
        <w:tabs>
          <w:tab w:val="left" w:pos="420"/>
        </w:tabs>
        <w:spacing w:before="120"/>
        <w:ind w:firstLine="210"/>
      </w:pPr>
    </w:p>
    <w:p>
      <w:pPr>
        <w:tabs>
          <w:tab w:val="left" w:pos="1050"/>
          <w:tab w:val="right" w:leader="dot" w:pos="9402"/>
        </w:tabs>
        <w:jc w:val="center"/>
        <w:rPr>
          <w:rFonts w:asciiTheme="majorEastAsia" w:hAnsiTheme="majorEastAsia" w:eastAsiaTheme="majorEastAsia" w:cstheme="majorEastAsia"/>
          <w:b/>
          <w:bCs/>
          <w:sz w:val="56"/>
          <w:szCs w:val="56"/>
        </w:rPr>
      </w:pPr>
      <w:r>
        <w:rPr>
          <w:rFonts w:hint="eastAsia" w:asciiTheme="majorEastAsia" w:hAnsiTheme="majorEastAsia" w:eastAsiaTheme="majorEastAsia" w:cstheme="majorEastAsia"/>
          <w:b/>
          <w:bCs/>
          <w:sz w:val="56"/>
          <w:szCs w:val="56"/>
        </w:rPr>
        <w:t>南通市妇幼保健院</w:t>
      </w:r>
    </w:p>
    <w:p>
      <w:pPr>
        <w:tabs>
          <w:tab w:val="left" w:pos="1050"/>
          <w:tab w:val="right" w:leader="dot" w:pos="9402"/>
        </w:tabs>
        <w:spacing w:afterLines="50"/>
        <w:jc w:val="center"/>
        <w:rPr>
          <w:rFonts w:asciiTheme="majorEastAsia" w:hAnsiTheme="majorEastAsia" w:eastAsiaTheme="majorEastAsia" w:cstheme="majorEastAsia"/>
          <w:b/>
          <w:bCs/>
          <w:sz w:val="56"/>
          <w:szCs w:val="56"/>
        </w:rPr>
      </w:pPr>
      <w:r>
        <w:rPr>
          <w:rFonts w:hint="eastAsia" w:asciiTheme="majorEastAsia" w:hAnsiTheme="majorEastAsia" w:eastAsiaTheme="majorEastAsia" w:cstheme="majorEastAsia"/>
          <w:b/>
          <w:bCs/>
          <w:sz w:val="56"/>
          <w:szCs w:val="56"/>
        </w:rPr>
        <w:t>网络安全等级保护测评服务项目</w:t>
      </w:r>
    </w:p>
    <w:p>
      <w:pPr>
        <w:tabs>
          <w:tab w:val="left" w:pos="1050"/>
          <w:tab w:val="right" w:leader="dot" w:pos="9402"/>
        </w:tabs>
        <w:spacing w:line="1600" w:lineRule="exact"/>
        <w:jc w:val="center"/>
        <w:rPr>
          <w:rFonts w:hint="eastAsia" w:ascii="方正小标宋简体" w:hAnsi="Calibri" w:eastAsia="方正小标宋简体"/>
          <w:sz w:val="56"/>
          <w:szCs w:val="56"/>
          <w:lang w:eastAsia="zh-CN"/>
        </w:rPr>
      </w:pPr>
      <w:r>
        <w:rPr>
          <w:rFonts w:hint="eastAsia" w:ascii="方正小标宋简体" w:hAnsi="宋体" w:eastAsia="方正小标宋简体" w:cs="方正小标宋简体"/>
          <w:sz w:val="56"/>
          <w:szCs w:val="56"/>
        </w:rPr>
        <w:t>竞争性磋商文件</w:t>
      </w:r>
      <w:r>
        <w:rPr>
          <w:rFonts w:hint="eastAsia" w:ascii="方正小标宋简体" w:hAnsi="宋体" w:eastAsia="方正小标宋简体" w:cs="方正小标宋简体"/>
          <w:sz w:val="56"/>
          <w:szCs w:val="56"/>
          <w:lang w:eastAsia="zh-CN"/>
        </w:rPr>
        <w:t>（二次）</w:t>
      </w:r>
    </w:p>
    <w:p>
      <w:pPr>
        <w:tabs>
          <w:tab w:val="left" w:pos="1050"/>
          <w:tab w:val="right" w:leader="dot" w:pos="9402"/>
        </w:tabs>
        <w:spacing w:line="520" w:lineRule="exact"/>
        <w:jc w:val="center"/>
        <w:rPr>
          <w:rFonts w:ascii="宋体" w:hAnsi="宋体" w:eastAsia="宋体" w:cs="宋体"/>
          <w:sz w:val="36"/>
          <w:szCs w:val="36"/>
        </w:rPr>
      </w:pPr>
      <w:r>
        <w:rPr>
          <w:rFonts w:hint="eastAsia" w:ascii="宋体" w:hAnsi="宋体" w:eastAsia="宋体" w:cs="宋体"/>
          <w:sz w:val="36"/>
          <w:szCs w:val="36"/>
        </w:rPr>
        <w:t>（资格后审）</w:t>
      </w:r>
    </w:p>
    <w:p>
      <w:pPr>
        <w:pStyle w:val="2"/>
      </w:pPr>
    </w:p>
    <w:p>
      <w:pPr>
        <w:snapToGrid w:val="0"/>
        <w:spacing w:line="360" w:lineRule="auto"/>
        <w:jc w:val="center"/>
        <w:rPr>
          <w:rFonts w:ascii="宋体" w:hAnsi="宋体" w:eastAsia="宋体" w:cs="宋体"/>
          <w:kern w:val="0"/>
          <w:sz w:val="32"/>
          <w:szCs w:val="32"/>
        </w:rPr>
      </w:pPr>
      <w:r>
        <w:rPr>
          <w:rFonts w:hint="eastAsia" w:ascii="宋体" w:hAnsi="宋体" w:eastAsia="宋体" w:cs="宋体"/>
          <w:kern w:val="0"/>
          <w:sz w:val="32"/>
          <w:szCs w:val="32"/>
        </w:rPr>
        <w:t>项目编号：2021XXCS002</w:t>
      </w:r>
    </w:p>
    <w:p>
      <w:pPr>
        <w:snapToGrid w:val="0"/>
        <w:spacing w:line="360" w:lineRule="auto"/>
        <w:rPr>
          <w:rFonts w:ascii="Arial" w:hAnsi="Arial" w:eastAsia="黑体"/>
          <w:b/>
          <w:bCs/>
          <w:sz w:val="36"/>
          <w:szCs w:val="36"/>
        </w:rPr>
      </w:pPr>
    </w:p>
    <w:p>
      <w:pPr>
        <w:snapToGrid w:val="0"/>
        <w:spacing w:line="360" w:lineRule="auto"/>
        <w:jc w:val="center"/>
        <w:rPr>
          <w:rFonts w:ascii="宋体" w:hAnsi="宋体" w:eastAsia="宋体"/>
          <w:kern w:val="0"/>
          <w:sz w:val="32"/>
          <w:szCs w:val="32"/>
        </w:rPr>
      </w:pPr>
    </w:p>
    <w:p>
      <w:pPr>
        <w:pStyle w:val="56"/>
        <w:tabs>
          <w:tab w:val="left" w:pos="420"/>
        </w:tabs>
        <w:spacing w:before="120"/>
        <w:ind w:firstLine="210"/>
      </w:pPr>
    </w:p>
    <w:p>
      <w:pPr>
        <w:pStyle w:val="56"/>
        <w:tabs>
          <w:tab w:val="left" w:pos="420"/>
        </w:tabs>
        <w:spacing w:before="120"/>
        <w:ind w:firstLine="210"/>
      </w:pPr>
    </w:p>
    <w:p>
      <w:pPr>
        <w:pStyle w:val="56"/>
        <w:tabs>
          <w:tab w:val="left" w:pos="420"/>
        </w:tabs>
        <w:spacing w:before="120"/>
        <w:ind w:firstLine="210"/>
      </w:pPr>
    </w:p>
    <w:p>
      <w:pPr>
        <w:pStyle w:val="56"/>
        <w:tabs>
          <w:tab w:val="left" w:pos="420"/>
        </w:tabs>
        <w:spacing w:before="120"/>
        <w:ind w:firstLine="210"/>
      </w:pPr>
    </w:p>
    <w:p>
      <w:pPr>
        <w:pStyle w:val="56"/>
        <w:tabs>
          <w:tab w:val="left" w:pos="420"/>
        </w:tabs>
        <w:spacing w:before="120"/>
        <w:ind w:firstLine="210"/>
      </w:pPr>
    </w:p>
    <w:p>
      <w:pPr>
        <w:pStyle w:val="56"/>
        <w:tabs>
          <w:tab w:val="left" w:pos="420"/>
        </w:tabs>
        <w:spacing w:before="120"/>
        <w:ind w:firstLine="210"/>
      </w:pPr>
    </w:p>
    <w:p>
      <w:pPr>
        <w:snapToGrid w:val="0"/>
        <w:spacing w:line="360" w:lineRule="auto"/>
        <w:jc w:val="center"/>
        <w:rPr>
          <w:rFonts w:ascii="宋体" w:hAnsi="宋体" w:eastAsia="宋体"/>
          <w:kern w:val="0"/>
          <w:sz w:val="32"/>
          <w:szCs w:val="32"/>
        </w:rPr>
      </w:pPr>
    </w:p>
    <w:p>
      <w:pPr>
        <w:snapToGrid w:val="0"/>
        <w:spacing w:line="360" w:lineRule="auto"/>
        <w:jc w:val="center"/>
        <w:rPr>
          <w:rFonts w:ascii="宋体" w:hAnsi="宋体" w:eastAsia="宋体" w:cs="宋体"/>
          <w:kern w:val="0"/>
          <w:sz w:val="32"/>
          <w:szCs w:val="32"/>
        </w:rPr>
      </w:pPr>
      <w:r>
        <w:rPr>
          <w:rFonts w:hint="eastAsia" w:ascii="宋体" w:hAnsi="宋体" w:eastAsia="宋体" w:cs="宋体"/>
          <w:kern w:val="0"/>
          <w:sz w:val="32"/>
          <w:szCs w:val="32"/>
        </w:rPr>
        <w:t>采购人：南通市妇幼保健院</w:t>
      </w:r>
    </w:p>
    <w:p>
      <w:pPr>
        <w:snapToGrid w:val="0"/>
        <w:spacing w:line="360" w:lineRule="auto"/>
        <w:jc w:val="center"/>
        <w:rPr>
          <w:rFonts w:ascii="宋体" w:hAnsi="宋体" w:eastAsia="宋体" w:cs="宋体"/>
          <w:kern w:val="0"/>
          <w:sz w:val="32"/>
          <w:szCs w:val="32"/>
        </w:rPr>
      </w:pPr>
      <w:r>
        <w:rPr>
          <w:rFonts w:hint="eastAsia" w:ascii="宋体" w:hAnsi="宋体" w:eastAsia="宋体" w:cs="宋体"/>
          <w:kern w:val="0"/>
          <w:sz w:val="32"/>
          <w:szCs w:val="32"/>
        </w:rPr>
        <w:t>采购代理机构：江苏方桂圆工程项目管理有限公司</w:t>
      </w:r>
    </w:p>
    <w:p>
      <w:pPr>
        <w:snapToGrid w:val="0"/>
        <w:spacing w:line="360" w:lineRule="auto"/>
        <w:jc w:val="center"/>
        <w:rPr>
          <w:rFonts w:ascii="宋体" w:hAnsi="宋体" w:eastAsia="宋体"/>
          <w:b/>
          <w:bCs/>
          <w:w w:val="80"/>
          <w:sz w:val="44"/>
          <w:szCs w:val="44"/>
        </w:rPr>
      </w:pPr>
      <w:r>
        <w:rPr>
          <w:rFonts w:hint="eastAsia" w:ascii="宋体" w:hAnsi="宋体" w:eastAsia="宋体" w:cs="宋体"/>
          <w:kern w:val="0"/>
          <w:sz w:val="32"/>
          <w:szCs w:val="32"/>
        </w:rPr>
        <w:t>二〇二一年</w:t>
      </w:r>
      <w:r>
        <w:rPr>
          <w:rFonts w:hint="eastAsia" w:ascii="宋体" w:hAnsi="宋体" w:eastAsia="宋体" w:cs="宋体"/>
          <w:kern w:val="0"/>
          <w:sz w:val="32"/>
          <w:szCs w:val="32"/>
          <w:lang w:eastAsia="zh-CN"/>
        </w:rPr>
        <w:t>九</w:t>
      </w:r>
      <w:r>
        <w:rPr>
          <w:rFonts w:hint="eastAsia" w:ascii="宋体" w:hAnsi="宋体" w:eastAsia="宋体" w:cs="宋体"/>
          <w:kern w:val="0"/>
          <w:sz w:val="32"/>
          <w:szCs w:val="32"/>
        </w:rPr>
        <w:t>月</w:t>
      </w:r>
      <w:r>
        <w:pict>
          <v:shape id="_x0000_s2051" o:spid="_x0000_s2051" o:spt="202" type="#_x0000_t202" style="position:absolute;left:0pt;margin-left:194.6pt;margin-top:40.55pt;height:38pt;width:63.75pt;z-index:251660288;mso-width-relative:page;mso-height-relative:page;" stroked="f" coordsize="21600,21600" o:gfxdata="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uBe5dgAAAAKAQAADwAAAAAAAAABACAAAAAiAAAAZHJzL2Rvd25yZXYu&#10;eG1sUEsBAhQAFAAAAAgAh07iQDSudsXCAQAAdgMAAA4AAAAAAAAAAQAgAAAAJwEAAGRycy9lMm9E&#10;b2MueG1sUEsFBgAAAAAGAAYAWQEAAFsFAAAAAA==&#10;">
            <v:path/>
            <v:fill focussize="0,0"/>
            <v:stroke on="f" joinstyle="miter"/>
            <v:imagedata o:title=""/>
            <o:lock v:ext="edit"/>
            <v:textbox>
              <w:txbxContent>
                <w:p/>
              </w:txbxContent>
            </v:textbox>
          </v:shape>
        </w:pict>
      </w:r>
      <w:r>
        <w:pict>
          <v:shape id="_x0000_s2050" o:spid="_x0000_s2050" o:spt="202" type="#_x0000_t202" style="position:absolute;left:0pt;margin-left:203.6pt;margin-top:734pt;height:38pt;width:63.75pt;z-index:251661312;mso-width-relative:page;mso-height-relative:page;" stroked="f" coordsize="21600,21600" o:gfxdata="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Dd6BtkAAAANAQAADwAAAAAAAAABACAAAAAiAAAAZHJzL2Rvd25yZXYu&#10;eG1sUEsBAhQAFAAAAAgAh07iQGDXBtzBAQAAdgMAAA4AAAAAAAAAAQAgAAAAKAEAAGRycy9lMm9E&#10;b2MueG1sUEsFBgAAAAAGAAYAWQEAAFsFAAAAAA==&#10;">
            <v:path/>
            <v:fill focussize="0,0"/>
            <v:stroke on="f" joinstyle="miter"/>
            <v:imagedata o:title=""/>
            <o:lock v:ext="edit"/>
            <v:textbox>
              <w:txbxContent>
                <w:p/>
              </w:txbxContent>
            </v:textbox>
          </v:shape>
        </w:pict>
      </w:r>
    </w:p>
    <w:p>
      <w:pPr>
        <w:tabs>
          <w:tab w:val="left" w:pos="1050"/>
          <w:tab w:val="right" w:leader="dot" w:pos="9402"/>
        </w:tabs>
        <w:spacing w:line="520" w:lineRule="exact"/>
        <w:jc w:val="center"/>
        <w:outlineLvl w:val="0"/>
        <w:rPr>
          <w:rFonts w:ascii="宋体" w:hAnsi="宋体" w:eastAsia="宋体" w:cs="宋体"/>
          <w:b/>
          <w:bCs/>
          <w:w w:val="80"/>
          <w:sz w:val="44"/>
          <w:szCs w:val="44"/>
        </w:rPr>
      </w:pPr>
    </w:p>
    <w:p>
      <w:pPr>
        <w:tabs>
          <w:tab w:val="left" w:pos="1050"/>
          <w:tab w:val="right" w:leader="dot" w:pos="9402"/>
        </w:tabs>
        <w:spacing w:line="520" w:lineRule="exact"/>
        <w:jc w:val="center"/>
        <w:outlineLvl w:val="0"/>
        <w:rPr>
          <w:rFonts w:ascii="宋体" w:hAnsi="宋体" w:eastAsia="宋体" w:cs="宋体"/>
          <w:b/>
          <w:bCs/>
          <w:w w:val="80"/>
          <w:sz w:val="44"/>
          <w:szCs w:val="44"/>
        </w:rPr>
      </w:pPr>
    </w:p>
    <w:p>
      <w:pPr>
        <w:tabs>
          <w:tab w:val="left" w:pos="1050"/>
          <w:tab w:val="right" w:leader="dot" w:pos="9402"/>
        </w:tabs>
        <w:spacing w:line="520" w:lineRule="exact"/>
        <w:jc w:val="center"/>
        <w:rPr>
          <w:rFonts w:asciiTheme="majorEastAsia" w:hAnsiTheme="majorEastAsia" w:eastAsiaTheme="majorEastAsia" w:cstheme="minorEastAsia"/>
          <w:b/>
          <w:w w:val="80"/>
          <w:sz w:val="36"/>
          <w:szCs w:val="36"/>
        </w:rPr>
      </w:pPr>
    </w:p>
    <w:p>
      <w:pPr>
        <w:sectPr>
          <w:headerReference r:id="rId4" w:type="first"/>
          <w:footerReference r:id="rId6" w:type="first"/>
          <w:headerReference r:id="rId3" w:type="default"/>
          <w:footerReference r:id="rId5" w:type="default"/>
          <w:pgSz w:w="11906" w:h="16838"/>
          <w:pgMar w:top="1418" w:right="851" w:bottom="709" w:left="1418" w:header="851" w:footer="449" w:gutter="0"/>
          <w:cols w:space="720" w:num="1"/>
          <w:docGrid w:type="lines" w:linePitch="380" w:charSpace="-5735"/>
        </w:sectPr>
      </w:pPr>
    </w:p>
    <w:p>
      <w:pPr>
        <w:pStyle w:val="2"/>
      </w:pPr>
    </w:p>
    <w:p>
      <w:pPr>
        <w:tabs>
          <w:tab w:val="left" w:pos="1050"/>
          <w:tab w:val="right" w:leader="dot" w:pos="9402"/>
        </w:tabs>
        <w:spacing w:line="520" w:lineRule="exact"/>
        <w:jc w:val="center"/>
        <w:outlineLvl w:val="0"/>
        <w:rPr>
          <w:rFonts w:asciiTheme="majorEastAsia" w:hAnsiTheme="majorEastAsia" w:eastAsiaTheme="majorEastAsia" w:cstheme="minorEastAsia"/>
          <w:b/>
          <w:w w:val="80"/>
          <w:sz w:val="52"/>
          <w:szCs w:val="52"/>
        </w:rPr>
      </w:pPr>
      <w:r>
        <w:rPr>
          <w:rFonts w:hint="eastAsia" w:asciiTheme="majorEastAsia" w:hAnsiTheme="majorEastAsia" w:eastAsiaTheme="majorEastAsia" w:cstheme="minorEastAsia"/>
          <w:b/>
          <w:w w:val="80"/>
          <w:sz w:val="52"/>
          <w:szCs w:val="52"/>
        </w:rPr>
        <w:t>目  录</w:t>
      </w:r>
    </w:p>
    <w:p>
      <w:pPr>
        <w:pStyle w:val="37"/>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b/>
          <w:bCs/>
          <w:sz w:val="36"/>
          <w:szCs w:val="36"/>
        </w:rPr>
        <w:fldChar w:fldCharType="begin"/>
      </w:r>
      <w:r>
        <w:rPr>
          <w:rFonts w:hint="eastAsia" w:asciiTheme="majorEastAsia" w:hAnsiTheme="majorEastAsia" w:eastAsiaTheme="majorEastAsia" w:cstheme="minorEastAsia"/>
          <w:b/>
          <w:bCs/>
          <w:sz w:val="36"/>
          <w:szCs w:val="36"/>
        </w:rPr>
        <w:instrText xml:space="preserve"> TOC \o "1-1"</w:instrText>
      </w:r>
      <w:r>
        <w:rPr>
          <w:rFonts w:hint="eastAsia" w:asciiTheme="majorEastAsia" w:hAnsiTheme="majorEastAsia" w:eastAsiaTheme="majorEastAsia" w:cstheme="minorEastAsia"/>
          <w:b/>
          <w:bCs/>
          <w:sz w:val="36"/>
          <w:szCs w:val="36"/>
        </w:rPr>
        <w:fldChar w:fldCharType="separate"/>
      </w:r>
      <w:r>
        <w:rPr>
          <w:rFonts w:hint="eastAsia" w:asciiTheme="majorEastAsia" w:hAnsiTheme="majorEastAsia" w:eastAsiaTheme="majorEastAsia" w:cstheme="minorEastAsia"/>
          <w:sz w:val="32"/>
          <w:szCs w:val="32"/>
        </w:rPr>
        <w:t>第一章 竞争性磋商公告</w:t>
      </w:r>
    </w:p>
    <w:p>
      <w:pPr>
        <w:pStyle w:val="37"/>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第二章 供应商须知</w:t>
      </w:r>
    </w:p>
    <w:p>
      <w:pPr>
        <w:pStyle w:val="37"/>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第三章 项目需求</w:t>
      </w:r>
    </w:p>
    <w:p>
      <w:pPr>
        <w:pStyle w:val="37"/>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第四章 评审方法和程序</w:t>
      </w:r>
    </w:p>
    <w:p>
      <w:pPr>
        <w:pStyle w:val="37"/>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第五章 合同授予与履约</w:t>
      </w:r>
    </w:p>
    <w:p>
      <w:pPr>
        <w:pStyle w:val="37"/>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第六章 质疑与投诉</w:t>
      </w:r>
    </w:p>
    <w:p>
      <w:pPr>
        <w:pStyle w:val="37"/>
        <w:tabs>
          <w:tab w:val="right" w:leader="dot" w:pos="9072"/>
        </w:tabs>
        <w:spacing w:line="1200" w:lineRule="exact"/>
        <w:ind w:right="-2"/>
        <w:rPr>
          <w:rFonts w:asciiTheme="majorEastAsia" w:hAnsiTheme="majorEastAsia" w:eastAsiaTheme="majorEastAsia" w:cstheme="minorEastAsia"/>
          <w:sz w:val="36"/>
          <w:szCs w:val="36"/>
        </w:rPr>
      </w:pPr>
      <w:r>
        <w:rPr>
          <w:rFonts w:hint="eastAsia" w:asciiTheme="majorEastAsia" w:hAnsiTheme="majorEastAsia" w:eastAsiaTheme="majorEastAsia" w:cstheme="minorEastAsia"/>
          <w:sz w:val="32"/>
          <w:szCs w:val="32"/>
        </w:rPr>
        <w:t>第七章 磋商响应相关格式及文件</w:t>
      </w: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b/>
          <w:bCs/>
          <w:sz w:val="30"/>
          <w:szCs w:val="30"/>
        </w:rPr>
      </w:pPr>
      <w:r>
        <w:rPr>
          <w:rFonts w:hint="eastAsia" w:asciiTheme="majorEastAsia" w:hAnsiTheme="majorEastAsia" w:eastAsiaTheme="majorEastAsia" w:cstheme="minorEastAsia"/>
          <w:b/>
          <w:bCs/>
          <w:sz w:val="36"/>
          <w:szCs w:val="36"/>
        </w:rPr>
        <w:fldChar w:fldCharType="end"/>
      </w: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440" w:lineRule="exact"/>
        <w:ind w:right="-2" w:firstLine="0"/>
        <w:rPr>
          <w:rFonts w:asciiTheme="majorEastAsia" w:hAnsiTheme="majorEastAsia" w:eastAsiaTheme="majorEastAsia" w:cstheme="minorEastAsia"/>
          <w:szCs w:val="24"/>
        </w:rPr>
        <w:sectPr>
          <w:footerReference r:id="rId7" w:type="default"/>
          <w:pgSz w:w="11906" w:h="16838"/>
          <w:pgMar w:top="1418" w:right="851" w:bottom="709" w:left="1418" w:header="851" w:footer="449" w:gutter="0"/>
          <w:pgNumType w:start="1"/>
          <w:cols w:space="720" w:num="1"/>
          <w:docGrid w:type="lines" w:linePitch="380" w:charSpace="-5735"/>
        </w:sectPr>
      </w:pPr>
    </w:p>
    <w:p>
      <w:pPr>
        <w:pStyle w:val="8"/>
        <w:tabs>
          <w:tab w:val="center" w:pos="4818"/>
          <w:tab w:val="left" w:pos="5827"/>
        </w:tabs>
        <w:overflowPunct w:val="0"/>
        <w:snapToGrid w:val="0"/>
        <w:spacing w:line="440" w:lineRule="exact"/>
        <w:ind w:right="-2" w:firstLine="0"/>
        <w:rPr>
          <w:rFonts w:asciiTheme="majorEastAsia" w:hAnsiTheme="majorEastAsia" w:eastAsiaTheme="majorEastAsia" w:cstheme="minorEastAsia"/>
          <w:szCs w:val="24"/>
        </w:rPr>
      </w:pPr>
      <w:r>
        <w:rPr>
          <w:rFonts w:hint="eastAsia" w:asciiTheme="majorEastAsia" w:hAnsiTheme="majorEastAsia" w:eastAsiaTheme="majorEastAsia" w:cstheme="minorEastAsia"/>
          <w:szCs w:val="24"/>
        </w:rPr>
        <w:t>尊敬的投标供应商（以下称供应商）：</w:t>
      </w:r>
      <w:r>
        <w:rPr>
          <w:rFonts w:hint="eastAsia" w:asciiTheme="majorEastAsia" w:hAnsiTheme="majorEastAsia" w:eastAsiaTheme="majorEastAsia" w:cstheme="minorEastAsia"/>
          <w:szCs w:val="24"/>
        </w:rPr>
        <w:tab/>
      </w:r>
    </w:p>
    <w:p>
      <w:pPr>
        <w:snapToGrid w:val="0"/>
        <w:spacing w:line="440" w:lineRule="exact"/>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欢迎参加本采购项目的竞争性磋商。为了保证本次招标顺利进行，请在制作磋商响应文件（以下称投标文件）之前，仔细阅读本竞争性磋商文件的各项条款，并按要求制作和递交投标文件。谢谢合作！</w:t>
      </w:r>
      <w:bookmarkStart w:id="0" w:name="_Toc363573853"/>
    </w:p>
    <w:p>
      <w:pPr>
        <w:tabs>
          <w:tab w:val="left" w:pos="1050"/>
          <w:tab w:val="right" w:leader="dot" w:pos="9402"/>
        </w:tabs>
        <w:snapToGrid w:val="0"/>
        <w:spacing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第一章</w:t>
      </w:r>
      <w:bookmarkEnd w:id="0"/>
      <w:r>
        <w:rPr>
          <w:rFonts w:hint="eastAsia" w:asciiTheme="majorEastAsia" w:hAnsiTheme="majorEastAsia" w:eastAsiaTheme="majorEastAsia" w:cstheme="minorEastAsia"/>
          <w:b/>
          <w:w w:val="80"/>
          <w:sz w:val="36"/>
          <w:szCs w:val="36"/>
        </w:rPr>
        <w:t xml:space="preserve"> 竞争性磋商公告</w:t>
      </w:r>
    </w:p>
    <w:p>
      <w:pPr>
        <w:widowControl/>
        <w:snapToGrid w:val="0"/>
        <w:spacing w:line="440" w:lineRule="exact"/>
        <w:ind w:firstLine="470" w:firstLineChars="196"/>
        <w:jc w:val="left"/>
        <w:rPr>
          <w:rFonts w:cs="宋体" w:asciiTheme="majorEastAsia" w:hAnsiTheme="majorEastAsia" w:eastAsiaTheme="majorEastAsia"/>
          <w:sz w:val="24"/>
          <w:szCs w:val="24"/>
        </w:rPr>
      </w:pPr>
      <w:bookmarkStart w:id="1" w:name="_Toc363573854"/>
      <w:r>
        <w:rPr>
          <w:rFonts w:hint="eastAsia" w:cs="宋体" w:asciiTheme="majorEastAsia" w:hAnsiTheme="majorEastAsia" w:eastAsiaTheme="majorEastAsia"/>
          <w:sz w:val="24"/>
          <w:szCs w:val="24"/>
        </w:rPr>
        <w:t>江苏方桂圆工程项目管理有限公司（以下称代理机构）受南通市妇幼保健院（以下称采购单位）的委托，就南通市妇幼保健院网络安全等级保护测评服务项目组织</w:t>
      </w:r>
      <w:r>
        <w:rPr>
          <w:rFonts w:hint="eastAsia" w:cs="宋体" w:asciiTheme="majorEastAsia" w:hAnsiTheme="majorEastAsia" w:eastAsiaTheme="majorEastAsia"/>
          <w:sz w:val="24"/>
          <w:szCs w:val="24"/>
          <w:lang w:eastAsia="zh-CN"/>
        </w:rPr>
        <w:t>二次</w:t>
      </w:r>
      <w:r>
        <w:rPr>
          <w:rFonts w:hint="eastAsia" w:cs="宋体" w:asciiTheme="majorEastAsia" w:hAnsiTheme="majorEastAsia" w:eastAsiaTheme="majorEastAsia"/>
          <w:sz w:val="24"/>
          <w:szCs w:val="24"/>
        </w:rPr>
        <w:t>竞争性磋商采购，诚邀符合条件的潜在供应商参加该项目的竞争性磋商。</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一、项目基本情况</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项目名称：南通市妇幼保健院网络安全等级保护测评服务项目</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项目编号：2021XXCS002</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采购方式：竞争性磋商</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项目预算：</w:t>
      </w:r>
      <w:bookmarkStart w:id="2" w:name="_Hlk71055035"/>
      <w:r>
        <w:rPr>
          <w:rFonts w:hint="eastAsia" w:cs="宋体" w:asciiTheme="majorEastAsia" w:hAnsiTheme="majorEastAsia" w:eastAsiaTheme="majorEastAsia"/>
          <w:sz w:val="24"/>
          <w:szCs w:val="24"/>
        </w:rPr>
        <w:t>18万元</w:t>
      </w:r>
      <w:bookmarkEnd w:id="2"/>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项目需求：详见磋商文件第三章</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服务期限：一年</w:t>
      </w:r>
    </w:p>
    <w:p>
      <w:pPr>
        <w:widowControl/>
        <w:snapToGrid w:val="0"/>
        <w:spacing w:line="440" w:lineRule="exact"/>
        <w:ind w:firstLine="482" w:firstLineChars="200"/>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二、潜在供应商资格</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  </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r>
        <w:rPr>
          <w:rFonts w:hint="eastAsia" w:cs="宋体" w:asciiTheme="majorEastAsia" w:hAnsiTheme="majorEastAsia" w:eastAsiaTheme="majorEastAsia"/>
          <w:sz w:val="24"/>
          <w:szCs w:val="24"/>
          <w:lang w:val="zh-CN"/>
        </w:rPr>
        <w:t>法定代表人</w:t>
      </w:r>
      <w:r>
        <w:rPr>
          <w:rFonts w:hint="eastAsia" w:cs="宋体" w:asciiTheme="majorEastAsia" w:hAnsiTheme="majorEastAsia" w:eastAsiaTheme="majorEastAsia"/>
          <w:sz w:val="24"/>
          <w:szCs w:val="24"/>
        </w:rPr>
        <w:t>（或分公司负责人）</w:t>
      </w:r>
      <w:r>
        <w:rPr>
          <w:rFonts w:hint="eastAsia" w:cs="宋体" w:asciiTheme="majorEastAsia" w:hAnsiTheme="majorEastAsia" w:eastAsiaTheme="majorEastAsia"/>
          <w:sz w:val="24"/>
          <w:szCs w:val="24"/>
          <w:lang w:val="zh-CN"/>
        </w:rPr>
        <w:t>为同一个人的两个及两个以上法人，母公司、全资子公司及其控股公司，都不得在同一采购项目相同标段中同时参加投标，一经发现，将视同围标处理。</w:t>
      </w:r>
      <w:r>
        <w:rPr>
          <w:rFonts w:hint="eastAsia" w:cs="宋体" w:asciiTheme="majorEastAsia" w:hAnsiTheme="majorEastAsia" w:eastAsiaTheme="majorEastAsia"/>
          <w:sz w:val="24"/>
          <w:szCs w:val="24"/>
        </w:rPr>
        <w:t xml:space="preserve"> </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r>
        <w:rPr>
          <w:rFonts w:hint="eastAsia" w:cs="宋体" w:asciiTheme="majorEastAsia" w:hAnsiTheme="majorEastAsia" w:eastAsiaTheme="majorEastAsia"/>
          <w:sz w:val="24"/>
          <w:szCs w:val="24"/>
          <w:lang w:val="zh-CN"/>
        </w:rPr>
        <w:t>供应商为具有独立法人的企业或者其他组织机构，有能力提供本次采购项目所要求的服务</w:t>
      </w:r>
      <w:r>
        <w:rPr>
          <w:rFonts w:hint="eastAsia" w:cs="宋体" w:asciiTheme="majorEastAsia" w:hAnsiTheme="majorEastAsia" w:eastAsiaTheme="majorEastAsia"/>
          <w:sz w:val="24"/>
          <w:szCs w:val="24"/>
        </w:rPr>
        <w:t xml:space="preserve">。 </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4、供应商具有公安部门网络安全等级保护评估中心颁发的《网络安全等级保护测评机构推荐证书》。</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r>
        <w:rPr>
          <w:rFonts w:hint="eastAsia" w:cs="宋体" w:asciiTheme="majorEastAsia" w:hAnsiTheme="majorEastAsia" w:eastAsiaTheme="majorEastAsia"/>
          <w:sz w:val="24"/>
          <w:szCs w:val="24"/>
          <w:lang w:val="zh-CN"/>
        </w:rPr>
        <w:t>法定代表人参加投标的，必须提供法定代表人身份证明及法定代表人本人身份证复印件；非法定代表人参加投标的，必须提供法定代表人签字或盖章的授权委托书及法定代表人、授权委托人的两人身份证的复印件，授权委托人为供应商正式人员证明材料【提供①与供应商签订的有效劳动合同复印件；②供应商为其缴纳的202</w:t>
      </w:r>
      <w:r>
        <w:rPr>
          <w:rFonts w:hint="eastAsia" w:cs="宋体" w:asciiTheme="majorEastAsia" w:hAnsiTheme="majorEastAsia" w:eastAsiaTheme="majorEastAsia"/>
          <w:sz w:val="24"/>
          <w:szCs w:val="24"/>
        </w:rPr>
        <w:t>1</w:t>
      </w:r>
      <w:r>
        <w:rPr>
          <w:rFonts w:hint="eastAsia" w:cs="宋体" w:asciiTheme="majorEastAsia" w:hAnsiTheme="majorEastAsia" w:eastAsiaTheme="majorEastAsia"/>
          <w:sz w:val="24"/>
          <w:szCs w:val="24"/>
          <w:lang w:val="zh-CN"/>
        </w:rPr>
        <w:t>年</w:t>
      </w:r>
      <w:r>
        <w:rPr>
          <w:rFonts w:hint="eastAsia" w:cs="宋体" w:asciiTheme="majorEastAsia" w:hAnsiTheme="majorEastAsia" w:eastAsiaTheme="majorEastAsia"/>
          <w:sz w:val="24"/>
          <w:szCs w:val="24"/>
        </w:rPr>
        <w:t>2</w:t>
      </w:r>
      <w:r>
        <w:rPr>
          <w:rFonts w:hint="eastAsia" w:cs="宋体" w:asciiTheme="majorEastAsia" w:hAnsiTheme="majorEastAsia" w:eastAsiaTheme="majorEastAsia"/>
          <w:sz w:val="24"/>
          <w:szCs w:val="24"/>
          <w:lang w:val="zh-CN"/>
        </w:rPr>
        <w:t>月-2021年</w:t>
      </w:r>
      <w:r>
        <w:rPr>
          <w:rFonts w:hint="eastAsia" w:cs="宋体" w:asciiTheme="majorEastAsia" w:hAnsiTheme="majorEastAsia" w:eastAsiaTheme="majorEastAsia"/>
          <w:sz w:val="24"/>
          <w:szCs w:val="24"/>
        </w:rPr>
        <w:t>7</w:t>
      </w:r>
      <w:r>
        <w:rPr>
          <w:rFonts w:hint="eastAsia" w:cs="宋体" w:asciiTheme="majorEastAsia" w:hAnsiTheme="majorEastAsia" w:eastAsiaTheme="majorEastAsia"/>
          <w:sz w:val="24"/>
          <w:szCs w:val="24"/>
          <w:lang w:val="zh-CN"/>
        </w:rPr>
        <w:t>月连续六个月的社保缴费证明复印件。】。</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6、提供参与本次项目采购活动前三年内在经营活动中没有重大违法记录的书面《无重大违法记录声明函》。</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7、提供关于资格文件的声明函。</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r>
        <w:rPr>
          <w:rFonts w:cs="宋体" w:asciiTheme="majorEastAsia" w:hAnsiTheme="majorEastAsia" w:eastAsiaTheme="majorEastAsia"/>
          <w:sz w:val="24"/>
          <w:szCs w:val="24"/>
        </w:rPr>
        <w:t>本项目不接受联合体投标</w:t>
      </w:r>
      <w:r>
        <w:rPr>
          <w:rFonts w:hint="eastAsia" w:cs="宋体" w:asciiTheme="majorEastAsia" w:hAnsiTheme="majorEastAsia" w:eastAsiaTheme="majorEastAsia"/>
          <w:sz w:val="24"/>
          <w:szCs w:val="24"/>
        </w:rPr>
        <w:t>，中标后不得分包、转包。</w:t>
      </w:r>
    </w:p>
    <w:p>
      <w:pPr>
        <w:widowControl/>
        <w:snapToGrid w:val="0"/>
        <w:spacing w:line="440" w:lineRule="exact"/>
        <w:ind w:firstLine="472" w:firstLineChars="196"/>
        <w:jc w:val="left"/>
        <w:rPr>
          <w:rFonts w:cs="宋体" w:asciiTheme="majorEastAsia" w:hAnsiTheme="majorEastAsia" w:eastAsiaTheme="majorEastAsia"/>
          <w:b/>
          <w:sz w:val="24"/>
          <w:szCs w:val="24"/>
          <w:u w:val="single"/>
        </w:rPr>
      </w:pPr>
      <w:r>
        <w:rPr>
          <w:rFonts w:hint="eastAsia" w:cs="宋体" w:asciiTheme="majorEastAsia" w:hAnsiTheme="majorEastAsia" w:eastAsiaTheme="majorEastAsia"/>
          <w:b/>
          <w:sz w:val="24"/>
          <w:szCs w:val="24"/>
          <w:u w:val="single"/>
        </w:rPr>
        <w:t xml:space="preserve">具体资格要求详见第七章“资格审查文件”。 </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请供应商认真对照资格要求，如不符合要求，无意或故意参与投标的，所产生的一切后果由供应商承担。对提供虚假材料的响应供应商作无效标处理，磋商保证金不予退还，并报财政部门后将其列入政府采购黑名单。</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三、获取磋商采购文件</w:t>
      </w:r>
    </w:p>
    <w:p>
      <w:pPr>
        <w:widowControl/>
        <w:snapToGrid w:val="0"/>
        <w:spacing w:line="440" w:lineRule="exact"/>
        <w:ind w:firstLine="470" w:firstLineChars="196"/>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有意愿参与本项目磋商的供应商，请于本公告发布之日起至开标前，至南通市妇幼保健院官网（http://www.ntfybj.com/）自行下载本项目的竞争性磋商文件。凡涉及磋商文件的补充说明、澄清或修改，均以上述网站发布的信息为准。</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四、响应文件提交</w:t>
      </w:r>
    </w:p>
    <w:p>
      <w:pPr>
        <w:widowControl/>
        <w:snapToGrid w:val="0"/>
        <w:spacing w:line="440" w:lineRule="exact"/>
        <w:ind w:firstLine="470" w:firstLineChars="196"/>
        <w:jc w:val="left"/>
        <w:rPr>
          <w:rFonts w:cs="宋体" w:asciiTheme="majorEastAsia" w:hAnsiTheme="majorEastAsia" w:eastAsiaTheme="majorEastAsia"/>
          <w:color w:val="000000" w:themeColor="text1"/>
          <w:sz w:val="24"/>
          <w:szCs w:val="24"/>
          <w:highlight w:val="yellow"/>
        </w:rPr>
      </w:pPr>
      <w:r>
        <w:rPr>
          <w:rFonts w:hint="eastAsia" w:cs="宋体" w:asciiTheme="majorEastAsia" w:hAnsiTheme="majorEastAsia" w:eastAsiaTheme="majorEastAsia"/>
          <w:color w:val="000000" w:themeColor="text1"/>
          <w:sz w:val="24"/>
          <w:szCs w:val="24"/>
          <w:highlight w:val="yellow"/>
        </w:rPr>
        <w:t>1、截止时间：2021年9月</w:t>
      </w:r>
      <w:r>
        <w:rPr>
          <w:rFonts w:hint="eastAsia" w:cs="宋体" w:asciiTheme="majorEastAsia" w:hAnsiTheme="majorEastAsia" w:eastAsiaTheme="majorEastAsia"/>
          <w:color w:val="000000" w:themeColor="text1"/>
          <w:sz w:val="24"/>
          <w:szCs w:val="24"/>
          <w:highlight w:val="yellow"/>
          <w:lang w:val="en-US" w:eastAsia="zh-CN"/>
        </w:rPr>
        <w:t>26</w:t>
      </w:r>
      <w:r>
        <w:rPr>
          <w:rFonts w:hint="eastAsia" w:cs="宋体" w:asciiTheme="majorEastAsia" w:hAnsiTheme="majorEastAsia" w:eastAsiaTheme="majorEastAsia"/>
          <w:color w:val="000000" w:themeColor="text1"/>
          <w:sz w:val="24"/>
          <w:szCs w:val="24"/>
          <w:highlight w:val="yellow"/>
        </w:rPr>
        <w:t>日</w:t>
      </w:r>
      <w:r>
        <w:rPr>
          <w:rFonts w:hint="eastAsia" w:cs="宋体" w:asciiTheme="majorEastAsia" w:hAnsiTheme="majorEastAsia" w:eastAsiaTheme="majorEastAsia"/>
          <w:color w:val="000000" w:themeColor="text1"/>
          <w:sz w:val="24"/>
          <w:szCs w:val="24"/>
          <w:highlight w:val="none"/>
        </w:rPr>
        <w:t>14时30分（北京时间）。</w:t>
      </w:r>
    </w:p>
    <w:p>
      <w:pPr>
        <w:widowControl/>
        <w:snapToGrid w:val="0"/>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sz w:val="24"/>
          <w:szCs w:val="24"/>
        </w:rPr>
        <w:t>2、地点：</w:t>
      </w:r>
      <w:r>
        <w:rPr>
          <w:rFonts w:hint="eastAsia" w:cs="宋体" w:asciiTheme="majorEastAsia" w:hAnsiTheme="majorEastAsia" w:eastAsiaTheme="majorEastAsia"/>
          <w:bCs/>
          <w:sz w:val="24"/>
          <w:szCs w:val="24"/>
        </w:rPr>
        <w:t>江苏方桂圆工程项目管理有限公司（</w:t>
      </w:r>
      <w:r>
        <w:rPr>
          <w:rFonts w:hint="eastAsia" w:cs="宋体" w:asciiTheme="majorEastAsia" w:hAnsiTheme="majorEastAsia" w:eastAsiaTheme="majorEastAsia"/>
          <w:sz w:val="24"/>
          <w:szCs w:val="24"/>
        </w:rPr>
        <w:t>南通市世纪大道58号恒隆国际A座701</w:t>
      </w:r>
      <w:r>
        <w:rPr>
          <w:rFonts w:hint="eastAsia" w:cs="宋体" w:asciiTheme="majorEastAsia" w:hAnsiTheme="majorEastAsia" w:eastAsiaTheme="majorEastAsia"/>
          <w:bCs/>
          <w:sz w:val="24"/>
          <w:szCs w:val="24"/>
        </w:rPr>
        <w:t>）</w:t>
      </w:r>
      <w:r>
        <w:rPr>
          <w:rFonts w:hint="eastAsia" w:cs="宋体" w:asciiTheme="majorEastAsia" w:hAnsiTheme="majorEastAsia" w:eastAsiaTheme="majorEastAsia"/>
          <w:sz w:val="24"/>
          <w:szCs w:val="24"/>
        </w:rPr>
        <w:t>，如有变动另行通知。</w:t>
      </w:r>
      <w:r>
        <w:rPr>
          <w:rFonts w:hint="eastAsia" w:cs="宋体" w:asciiTheme="majorEastAsia" w:hAnsiTheme="majorEastAsia" w:eastAsiaTheme="majorEastAsia"/>
          <w:bCs/>
          <w:sz w:val="24"/>
          <w:szCs w:val="24"/>
        </w:rPr>
        <w:t>逾期送达或者未送达指定地点的响应文件，采购人不予受理。</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ascii="宋体" w:hAnsi="宋体" w:eastAsia="宋体" w:cs="宋体"/>
          <w:b/>
          <w:bCs/>
          <w:kern w:val="0"/>
          <w:sz w:val="24"/>
          <w:szCs w:val="24"/>
        </w:rPr>
        <w:drawing>
          <wp:anchor distT="0" distB="0" distL="114300" distR="114300" simplePos="0" relativeHeight="251662336" behindDoc="0" locked="0" layoutInCell="1" allowOverlap="1">
            <wp:simplePos x="0" y="0"/>
            <wp:positionH relativeFrom="column">
              <wp:posOffset>4398645</wp:posOffset>
            </wp:positionH>
            <wp:positionV relativeFrom="paragraph">
              <wp:posOffset>1733550</wp:posOffset>
            </wp:positionV>
            <wp:extent cx="1781175" cy="1797050"/>
            <wp:effectExtent l="0" t="0" r="9525" b="1270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81175" cy="1797050"/>
                    </a:xfrm>
                    <a:prstGeom prst="rect">
                      <a:avLst/>
                    </a:prstGeom>
                    <a:noFill/>
                    <a:ln>
                      <a:noFill/>
                    </a:ln>
                  </pic:spPr>
                </pic:pic>
              </a:graphicData>
            </a:graphic>
          </wp:anchor>
        </w:drawing>
      </w:r>
      <w:r>
        <w:rPr>
          <w:rFonts w:hint="eastAsia" w:ascii="宋体" w:hAnsi="宋体" w:eastAsia="宋体" w:cs="宋体"/>
          <w:b/>
          <w:bCs/>
          <w:kern w:val="0"/>
          <w:sz w:val="24"/>
          <w:szCs w:val="24"/>
        </w:rPr>
        <w:t>3、</w:t>
      </w:r>
      <w:r>
        <w:rPr>
          <w:rFonts w:ascii="宋体" w:hAnsi="宋体" w:eastAsia="宋体" w:cs="宋体"/>
          <w:b/>
          <w:bCs/>
          <w:kern w:val="0"/>
          <w:sz w:val="24"/>
          <w:szCs w:val="24"/>
        </w:rPr>
        <w:t>根据疫情防控工作要求，请参加本项目招投标活动的人员，在进入</w:t>
      </w:r>
      <w:r>
        <w:rPr>
          <w:rFonts w:hint="eastAsia" w:ascii="宋体" w:hAnsi="宋体" w:eastAsia="宋体" w:cs="宋体"/>
          <w:b/>
          <w:bCs/>
          <w:kern w:val="0"/>
          <w:sz w:val="24"/>
          <w:szCs w:val="24"/>
        </w:rPr>
        <w:t>活动</w:t>
      </w:r>
      <w:r>
        <w:rPr>
          <w:rFonts w:ascii="宋体" w:hAnsi="宋体" w:eastAsia="宋体" w:cs="宋体"/>
          <w:b/>
          <w:bCs/>
          <w:kern w:val="0"/>
          <w:sz w:val="24"/>
          <w:szCs w:val="24"/>
        </w:rPr>
        <w:t>现场时，务必携带有效身份证件，规范佩戴口罩，接受实名登记和体温检测，出具近14日健康码及行程轨迹，自觉服从和配合现场工作人员安排。如各省、市有最新防控要求的，按当地最新发布的防控要求执行。各投标人关注微信公众号“江海南通”，及时查看已发布或最新发布的相关疫情防控要求，并按照最新发布的疫情防控要求执行，疫情防控咨询电话：0513-85590062。如因未达到当地疫情防控要求，而被限制进入</w:t>
      </w:r>
      <w:r>
        <w:rPr>
          <w:rFonts w:hint="eastAsia" w:ascii="宋体" w:hAnsi="宋体" w:eastAsia="宋体" w:cs="宋体"/>
          <w:b/>
          <w:bCs/>
          <w:kern w:val="0"/>
          <w:sz w:val="24"/>
          <w:szCs w:val="24"/>
        </w:rPr>
        <w:t>开投标</w:t>
      </w:r>
      <w:r>
        <w:rPr>
          <w:rFonts w:ascii="宋体" w:hAnsi="宋体" w:eastAsia="宋体" w:cs="宋体"/>
          <w:b/>
          <w:bCs/>
          <w:kern w:val="0"/>
          <w:sz w:val="24"/>
          <w:szCs w:val="24"/>
        </w:rPr>
        <w:t>场地的或被强制隔离等情况的，由当事人自行承担相关风险和责任。“江海南通”微信公众号</w:t>
      </w:r>
      <w:r>
        <w:rPr>
          <w:rFonts w:hint="eastAsia" w:ascii="宋体" w:hAnsi="宋体" w:eastAsia="宋体" w:cs="宋体"/>
          <w:b/>
          <w:bCs/>
          <w:kern w:val="0"/>
          <w:sz w:val="24"/>
          <w:szCs w:val="24"/>
        </w:rPr>
        <w:t>：</w:t>
      </w:r>
    </w:p>
    <w:p>
      <w:pPr>
        <w:widowControl/>
        <w:snapToGrid w:val="0"/>
        <w:spacing w:line="440" w:lineRule="exact"/>
        <w:ind w:firstLine="472" w:firstLineChars="196"/>
        <w:jc w:val="left"/>
        <w:rPr>
          <w:rFonts w:cs="宋体" w:asciiTheme="majorEastAsia" w:hAnsiTheme="majorEastAsia" w:eastAsiaTheme="majorEastAsia"/>
          <w:b/>
          <w:sz w:val="24"/>
          <w:szCs w:val="24"/>
        </w:rPr>
      </w:pPr>
    </w:p>
    <w:p>
      <w:pPr>
        <w:widowControl/>
        <w:snapToGrid w:val="0"/>
        <w:spacing w:line="440" w:lineRule="exact"/>
        <w:ind w:firstLine="472" w:firstLineChars="196"/>
        <w:jc w:val="left"/>
        <w:rPr>
          <w:rFonts w:cs="宋体" w:asciiTheme="majorEastAsia" w:hAnsiTheme="majorEastAsia" w:eastAsiaTheme="majorEastAsia"/>
          <w:b/>
          <w:sz w:val="24"/>
          <w:szCs w:val="24"/>
        </w:rPr>
      </w:pPr>
    </w:p>
    <w:p>
      <w:pPr>
        <w:widowControl/>
        <w:snapToGrid w:val="0"/>
        <w:spacing w:line="440" w:lineRule="exact"/>
        <w:ind w:firstLine="472" w:firstLineChars="196"/>
        <w:jc w:val="left"/>
        <w:rPr>
          <w:rFonts w:cs="宋体" w:asciiTheme="majorEastAsia" w:hAnsiTheme="majorEastAsia" w:eastAsiaTheme="majorEastAsia"/>
          <w:b/>
          <w:sz w:val="24"/>
          <w:szCs w:val="24"/>
        </w:rPr>
      </w:pPr>
    </w:p>
    <w:p>
      <w:pPr>
        <w:widowControl/>
        <w:snapToGrid w:val="0"/>
        <w:spacing w:line="440" w:lineRule="exact"/>
        <w:ind w:firstLine="472" w:firstLineChars="196"/>
        <w:jc w:val="left"/>
        <w:rPr>
          <w:rFonts w:cs="宋体" w:asciiTheme="majorEastAsia" w:hAnsiTheme="majorEastAsia" w:eastAsiaTheme="majorEastAsia"/>
          <w:b/>
          <w:sz w:val="24"/>
          <w:szCs w:val="24"/>
        </w:rPr>
      </w:pP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五、开启</w:t>
      </w:r>
    </w:p>
    <w:p>
      <w:pPr>
        <w:widowControl/>
        <w:snapToGrid w:val="0"/>
        <w:spacing w:line="440" w:lineRule="exact"/>
        <w:ind w:firstLine="470" w:firstLineChars="196"/>
        <w:jc w:val="left"/>
        <w:rPr>
          <w:rFonts w:cs="宋体" w:asciiTheme="majorEastAsia" w:hAnsiTheme="majorEastAsia" w:eastAsiaTheme="majorEastAsia"/>
          <w:bCs/>
          <w:color w:val="000000" w:themeColor="text1"/>
          <w:sz w:val="24"/>
          <w:szCs w:val="24"/>
        </w:rPr>
      </w:pPr>
      <w:r>
        <w:rPr>
          <w:rFonts w:hint="eastAsia" w:cs="宋体" w:asciiTheme="majorEastAsia" w:hAnsiTheme="majorEastAsia" w:eastAsiaTheme="majorEastAsia"/>
          <w:bCs/>
          <w:color w:val="000000" w:themeColor="text1"/>
          <w:sz w:val="24"/>
          <w:szCs w:val="24"/>
          <w:highlight w:val="yellow"/>
        </w:rPr>
        <w:t>1、时间：2021年9月</w:t>
      </w:r>
      <w:r>
        <w:rPr>
          <w:rFonts w:hint="eastAsia" w:cs="宋体" w:asciiTheme="majorEastAsia" w:hAnsiTheme="majorEastAsia" w:eastAsiaTheme="majorEastAsia"/>
          <w:bCs/>
          <w:color w:val="000000" w:themeColor="text1"/>
          <w:sz w:val="24"/>
          <w:szCs w:val="24"/>
          <w:highlight w:val="yellow"/>
          <w:lang w:val="en-US" w:eastAsia="zh-CN"/>
        </w:rPr>
        <w:t>26</w:t>
      </w:r>
      <w:r>
        <w:rPr>
          <w:rFonts w:hint="eastAsia" w:cs="宋体" w:asciiTheme="majorEastAsia" w:hAnsiTheme="majorEastAsia" w:eastAsiaTheme="majorEastAsia"/>
          <w:bCs/>
          <w:color w:val="000000" w:themeColor="text1"/>
          <w:sz w:val="24"/>
          <w:szCs w:val="24"/>
          <w:highlight w:val="yellow"/>
        </w:rPr>
        <w:t>日</w:t>
      </w:r>
      <w:r>
        <w:rPr>
          <w:rFonts w:hint="eastAsia" w:cs="宋体" w:asciiTheme="majorEastAsia" w:hAnsiTheme="majorEastAsia" w:eastAsiaTheme="majorEastAsia"/>
          <w:bCs/>
          <w:color w:val="000000" w:themeColor="text1"/>
          <w:sz w:val="24"/>
          <w:szCs w:val="24"/>
        </w:rPr>
        <w:t>14时30分（北京时间）。</w:t>
      </w:r>
    </w:p>
    <w:p>
      <w:pPr>
        <w:widowControl/>
        <w:snapToGrid w:val="0"/>
        <w:spacing w:line="440" w:lineRule="exact"/>
        <w:ind w:firstLine="470"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Cs/>
          <w:sz w:val="24"/>
          <w:szCs w:val="24"/>
        </w:rPr>
        <w:t>2、地点：江苏方桂圆工程项目管理有限公司（</w:t>
      </w:r>
      <w:r>
        <w:rPr>
          <w:rFonts w:hint="eastAsia" w:cs="宋体" w:asciiTheme="majorEastAsia" w:hAnsiTheme="majorEastAsia" w:eastAsiaTheme="majorEastAsia"/>
          <w:sz w:val="24"/>
          <w:szCs w:val="24"/>
        </w:rPr>
        <w:t>南通</w:t>
      </w:r>
      <w:bookmarkStart w:id="13" w:name="_GoBack"/>
      <w:bookmarkEnd w:id="13"/>
      <w:r>
        <w:rPr>
          <w:rFonts w:hint="eastAsia" w:cs="宋体" w:asciiTheme="majorEastAsia" w:hAnsiTheme="majorEastAsia" w:eastAsiaTheme="majorEastAsia"/>
          <w:sz w:val="24"/>
          <w:szCs w:val="24"/>
        </w:rPr>
        <w:t>市世纪大道58号恒隆国际A座701</w:t>
      </w:r>
      <w:r>
        <w:rPr>
          <w:rFonts w:hint="eastAsia" w:cs="宋体" w:asciiTheme="majorEastAsia" w:hAnsiTheme="majorEastAsia" w:eastAsiaTheme="majorEastAsia"/>
          <w:bCs/>
          <w:sz w:val="24"/>
          <w:szCs w:val="24"/>
        </w:rPr>
        <w:t>）</w:t>
      </w:r>
      <w:r>
        <w:rPr>
          <w:rFonts w:hint="eastAsia" w:cs="宋体" w:asciiTheme="majorEastAsia" w:hAnsiTheme="majorEastAsia" w:eastAsiaTheme="majorEastAsia"/>
          <w:sz w:val="24"/>
          <w:szCs w:val="24"/>
        </w:rPr>
        <w:t>，如有变动另行通知。</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六、磋商保证金</w:t>
      </w:r>
    </w:p>
    <w:p>
      <w:pPr>
        <w:spacing w:line="440" w:lineRule="exact"/>
        <w:ind w:firstLine="484" w:firstLineChars="202"/>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1、本次项目磋商保证金为人民币：</w:t>
      </w:r>
      <w:r>
        <w:rPr>
          <w:rFonts w:hint="eastAsia" w:ascii="宋体" w:hAnsi="宋体" w:eastAsia="宋体" w:cs="宋体"/>
          <w:sz w:val="24"/>
          <w:szCs w:val="24"/>
          <w:u w:val="single"/>
        </w:rPr>
        <w:t>¥</w:t>
      </w:r>
      <w:r>
        <w:rPr>
          <w:rFonts w:hint="eastAsia" w:cs="宋体" w:asciiTheme="majorEastAsia" w:hAnsiTheme="majorEastAsia" w:eastAsiaTheme="majorEastAsia"/>
          <w:bCs/>
          <w:sz w:val="24"/>
          <w:szCs w:val="24"/>
          <w:u w:val="single"/>
        </w:rPr>
        <w:t>3500</w:t>
      </w:r>
      <w:r>
        <w:rPr>
          <w:rFonts w:hint="eastAsia" w:cs="宋体" w:asciiTheme="majorEastAsia" w:hAnsiTheme="majorEastAsia" w:eastAsiaTheme="majorEastAsia"/>
          <w:bCs/>
          <w:sz w:val="24"/>
          <w:szCs w:val="24"/>
        </w:rPr>
        <w:t>元。</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2、磋商保证金递交形式：可采用银行汇票或转账或电汇或网银的方式递交：</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（1）保证金账户信息如下：</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账户名：江苏方桂圆工程项目管理有限公司</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开户行：南通建行城东支行</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账 号：32001642236050789394</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如采用银行汇票的方式递交，须在响应文件接收截止时间前，将投标保证金汇票原件由投标人带至开标现场（银行汇票不得密封在投标文件内，单独递交），在递交投标文件时递交给代理机构。投标保证金上必须注明收款人为：江苏方桂圆工程项目管理有限公司；汇款人为：投标人名称（例如：参与投标的为XX公司，银行汇票汇出单位必须为XX公司，不能为XX公司的分公司。）。</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3）如采用转账或电汇或网银的方式递交，须在响应文件接收截止时间前，将投标保证金按招标文件要求的金额汇入至采购人指定账户（以保证金到达指定账户的时刻作为有效保证金时限的依据，各投标人应当充分预判因各种因素导致保证金到账的滞后情况，提前做好相关准备。）。汇款人为：投标人名称（例如：参与投标的为XX公司，汇出单位必须为XX公司，不能为XX公司的分公司。）。</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（4）未成交的投标人的投标保证金，以银行汇票方式递交的，当场退还；以转账或电汇或网银的方式递交成交的；5个工作日内原路退还（无息）。</w:t>
      </w:r>
    </w:p>
    <w:p>
      <w:pPr>
        <w:widowControl/>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3、投标人（以下称为中标供应商）的投标保证金将在采购单位与中标供应商签订的合同生效后5个工作日内，予以退还（无息）。</w:t>
      </w:r>
    </w:p>
    <w:p>
      <w:pPr>
        <w:spacing w:line="440" w:lineRule="exact"/>
        <w:ind w:firstLine="480" w:firstLineChars="200"/>
        <w:rPr>
          <w:rFonts w:cs="宋体" w:asciiTheme="majorEastAsia" w:hAnsiTheme="majorEastAsia" w:eastAsiaTheme="majorEastAsia"/>
          <w:bCs/>
          <w:sz w:val="24"/>
          <w:szCs w:val="24"/>
        </w:rPr>
      </w:pPr>
      <w:r>
        <w:rPr>
          <w:rFonts w:hint="eastAsia" w:cs="宋体" w:asciiTheme="majorEastAsia" w:hAnsiTheme="majorEastAsia" w:eastAsiaTheme="majorEastAsia"/>
          <w:sz w:val="24"/>
          <w:szCs w:val="24"/>
        </w:rPr>
        <w:t>4、未按要求提交磋商保证金的供应商，采购单位有权拒绝其响应文件</w:t>
      </w:r>
      <w:r>
        <w:rPr>
          <w:rFonts w:hint="eastAsia" w:cs="宋体" w:asciiTheme="majorEastAsia" w:hAnsiTheme="majorEastAsia" w:eastAsiaTheme="majorEastAsia"/>
          <w:bCs/>
          <w:sz w:val="24"/>
          <w:szCs w:val="24"/>
        </w:rPr>
        <w:t>。</w:t>
      </w:r>
    </w:p>
    <w:p>
      <w:pPr>
        <w:spacing w:line="440" w:lineRule="exact"/>
        <w:ind w:firstLine="487" w:firstLineChars="20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七、联系方式</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1、采购人信息</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名  称：南通市妇幼保健院</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联系人：肖激雷         </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联系电话：0513-59008062</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2、采购代理机构信息</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名  称：江苏方桂圆工程项目管理有限公司</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地  址：南通市世纪大道58号恒隆国际大厦A座701室</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联系人：毛琴       </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联系电话：0513-55886299　</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邮  箱： </w:t>
      </w:r>
      <w:r>
        <w:fldChar w:fldCharType="begin"/>
      </w:r>
      <w:r>
        <w:instrText xml:space="preserve"> HYPERLINK "mailto:543907018@qq.com" </w:instrText>
      </w:r>
      <w:r>
        <w:fldChar w:fldCharType="separate"/>
      </w:r>
      <w:r>
        <w:rPr>
          <w:rFonts w:hint="eastAsia" w:cs="宋体" w:asciiTheme="majorEastAsia" w:hAnsiTheme="majorEastAsia" w:eastAsiaTheme="majorEastAsia"/>
          <w:sz w:val="24"/>
          <w:szCs w:val="24"/>
        </w:rPr>
        <w:t>fgyjszx2@163.com</w:t>
      </w:r>
      <w:r>
        <w:rPr>
          <w:rFonts w:hint="eastAsia" w:cs="宋体" w:asciiTheme="majorEastAsia" w:hAnsiTheme="majorEastAsia" w:eastAsiaTheme="majorEastAsia"/>
          <w:sz w:val="24"/>
          <w:szCs w:val="24"/>
        </w:rPr>
        <w:fldChar w:fldCharType="end"/>
      </w:r>
      <w:r>
        <w:rPr>
          <w:rFonts w:hint="eastAsia" w:asciiTheme="majorEastAsia" w:hAnsiTheme="majorEastAsia" w:eastAsiaTheme="majorEastAsia" w:cstheme="minorEastAsia"/>
          <w:b/>
          <w:w w:val="80"/>
          <w:sz w:val="32"/>
          <w:szCs w:val="32"/>
        </w:rPr>
        <w:br w:type="page"/>
      </w:r>
    </w:p>
    <w:p>
      <w:pPr>
        <w:tabs>
          <w:tab w:val="left" w:pos="1050"/>
          <w:tab w:val="right" w:leader="dot" w:pos="9402"/>
        </w:tabs>
        <w:snapToGrid w:val="0"/>
        <w:spacing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第二章 供应商须知</w:t>
      </w:r>
      <w:bookmarkEnd w:id="1"/>
    </w:p>
    <w:p>
      <w:pPr>
        <w:snapToGrid w:val="0"/>
        <w:spacing w:line="360" w:lineRule="auto"/>
        <w:ind w:firstLine="482" w:firstLineChars="200"/>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一、说明</w:t>
      </w:r>
    </w:p>
    <w:p>
      <w:pPr>
        <w:snapToGrid w:val="0"/>
        <w:spacing w:line="360" w:lineRule="auto"/>
        <w:ind w:firstLine="480" w:firstLineChars="200"/>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1、本磋商文件仅适用于本采购代理机构组织的招标采购活动。</w:t>
      </w:r>
    </w:p>
    <w:p>
      <w:pPr>
        <w:snapToGrid w:val="0"/>
        <w:spacing w:line="360" w:lineRule="auto"/>
        <w:ind w:firstLine="480" w:firstLineChars="200"/>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2、磋商活动及因本次磋商产生的合同受中国法律制约和保护。</w:t>
      </w:r>
    </w:p>
    <w:p>
      <w:pPr>
        <w:snapToGrid w:val="0"/>
        <w:spacing w:line="360" w:lineRule="auto"/>
        <w:ind w:firstLine="480" w:firstLineChars="200"/>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3、磋商文件的解释权属于采购代理机构。</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供应商在知道或应当知道本项目磋商公告及磋商文件中的所有内容：如内容或页码短缺、资格要求和技术参数出现倾向性或排他性等表述的，应在本项目磋商公告及磋商文件发布后提出询问或是在发布之日后的</w:t>
      </w:r>
      <w:r>
        <w:rPr>
          <w:rFonts w:hint="eastAsia" w:asciiTheme="majorEastAsia" w:hAnsiTheme="majorEastAsia" w:eastAsiaTheme="majorEastAsia" w:cstheme="minorEastAsia"/>
          <w:b/>
          <w:bCs/>
          <w:sz w:val="24"/>
          <w:szCs w:val="24"/>
        </w:rPr>
        <w:t>3个工作日内以书面实名制形式提出质疑</w:t>
      </w:r>
      <w:r>
        <w:rPr>
          <w:rFonts w:hint="eastAsia" w:asciiTheme="majorEastAsia" w:hAnsiTheme="majorEastAsia" w:eastAsiaTheme="majorEastAsia" w:cstheme="minorEastAsia"/>
          <w:sz w:val="24"/>
          <w:szCs w:val="24"/>
        </w:rPr>
        <w:t>；</w:t>
      </w:r>
      <w:r>
        <w:rPr>
          <w:rFonts w:hint="eastAsia" w:asciiTheme="majorEastAsia" w:hAnsiTheme="majorEastAsia" w:eastAsiaTheme="majorEastAsia" w:cstheme="minorEastAsia"/>
          <w:b/>
          <w:bCs/>
          <w:sz w:val="24"/>
          <w:szCs w:val="24"/>
        </w:rPr>
        <w:t>未提出询问或是未在规定期间内提出的视作供应商接受本项目磋商公告及磋商文件中的全部内容</w:t>
      </w:r>
      <w:r>
        <w:rPr>
          <w:rFonts w:hint="eastAsia" w:asciiTheme="majorEastAsia" w:hAnsiTheme="majorEastAsia" w:eastAsiaTheme="majorEastAsia" w:cstheme="minorEastAsia"/>
          <w:sz w:val="24"/>
          <w:szCs w:val="24"/>
        </w:rPr>
        <w:t>；供应商不得在招标活动期间及招标结束后针对本项目磋商公告及磋商文件中的所有内容提出质疑事项。</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5、供应商应认真审阅本磋商文件中的所有事项、格式、条款和规范要求等，如果供应商没有按照磋商文件要求提交磋商响应文件，或者磋商响应文件没有对磋商文件做出实质性响应，有可能被拒绝参与磋商。</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磋商文件项目需求提供的可能涉及到的工艺、材料、设备、商标、技术规范、参数规格、品牌等，仅作为说明并没有限制性，供应商在磋商响应中可以选用替代标准，但这些替代标准要优于项目需求技术规格中要求的标准，以满足采购人的需要。</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二、磋商文件的补充说明、澄清、修改、答疑</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1、采购代理机构有权对发出的磋商文件进行必要的补充说明、澄清或修改。</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2、凡涉及磋商文件的补充说明、澄清或修改，均以采购代理机构发布的信息为准。</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3、采购代理机构对磋商文件的补充说明、澄清或修改，将构成本项目磋商文件的一部分，对供应商具有约束力。</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4、补充说明、澄清或修改的内容可能影响到磋商响应文件编制，采购代理机构将在首次提交磋商响应文件截止日3天前，发布补充说明、澄清或修改公告。不足3日的，应当顺延首次提交磋商响应文件截止之日。</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5、除非采购代理机构以书面、公告的形式对磋商文件作出澄清、修改、补充并通知到供应商，供应商对涉及磋商文件的任何推论、理解和结论所造成的结果，均由供应商自负。</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6、采购人视情组织答疑会。如有产生答疑且对磋商文件内容有修改，采购代理机构将按照本须知有关规定，以补充通知（公告）的方式发出并通知到供应商。</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三、磋商响应文件的组成及装订</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1、磋商响应文件由：①资格审查文件、②技术响应文件、③价格响应文件共三部分组成（以下由文件序号代称）。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供应商按磋商响应文件组成顺序编写响应文件，并牢固胶装成册。磋商响应文件均需采用A4纸（图纸等除外），不允许使用活页夹、拉杆夹、文件夹、塑料方便式书脊（插入式或穿孔式）装订。磋商响应文件不得行间插字、涂改、增删。修改错漏处，须经供应商法人代表或其委托的代理人（以下称被委托授权人）签字（或盖章）并加盖公章。</w:t>
      </w:r>
    </w:p>
    <w:p>
      <w:pPr>
        <w:snapToGrid w:val="0"/>
        <w:spacing w:line="360" w:lineRule="auto"/>
        <w:ind w:firstLine="482" w:firstLineChars="200"/>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四、磋商响应文件的份数、签署和退还</w:t>
      </w:r>
    </w:p>
    <w:p>
      <w:pPr>
        <w:snapToGrid w:val="0"/>
        <w:spacing w:line="360" w:lineRule="auto"/>
        <w:ind w:firstLine="480" w:firstLineChars="200"/>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sz w:val="24"/>
          <w:szCs w:val="24"/>
        </w:rPr>
        <w:t>1、磋商响应文件均为一份“正本”和两份“副本”</w:t>
      </w:r>
      <w:r>
        <w:rPr>
          <w:rFonts w:hint="eastAsia" w:asciiTheme="majorEastAsia" w:hAnsiTheme="majorEastAsia" w:eastAsiaTheme="majorEastAsia" w:cstheme="minorEastAsia"/>
          <w:b/>
          <w:sz w:val="24"/>
          <w:szCs w:val="24"/>
        </w:rPr>
        <w:t>。</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2、在每一份磋商响应文件上要明确标注项目名称、磋商响应文件各自对应的名称、供应商全称、“正本”、“副本”字样，“正本”和“副本”若有差异，概以“正本”为准。</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3、磋商响应文件中的所有“正本”，须为打印的，其正文内容由法定代表人或被委托授权人签字（或盖章）并加盖公章，“副本”可为“正本”的复印件。</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4、磋商程序顺利进行后，所有磋商响应文件都将作为档案保存，不论成交与否，采购代理机构均不退回（未拆封的除外）。</w:t>
      </w:r>
    </w:p>
    <w:p>
      <w:pPr>
        <w:snapToGrid w:val="0"/>
        <w:spacing w:line="360" w:lineRule="auto"/>
        <w:ind w:firstLine="472" w:firstLineChars="196"/>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五、磋商响应文件的密封及标记</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1、供应商须将本项目磋商响应文件：①、②、③</w:t>
      </w:r>
      <w:r>
        <w:rPr>
          <w:rFonts w:hint="eastAsia" w:asciiTheme="majorEastAsia" w:hAnsiTheme="majorEastAsia" w:eastAsiaTheme="majorEastAsia" w:cstheme="minorEastAsia"/>
          <w:b/>
          <w:sz w:val="24"/>
          <w:szCs w:val="24"/>
        </w:rPr>
        <w:t>分别单独密封</w:t>
      </w:r>
      <w:r>
        <w:rPr>
          <w:rFonts w:hint="eastAsia" w:asciiTheme="majorEastAsia" w:hAnsiTheme="majorEastAsia" w:eastAsiaTheme="majorEastAsia" w:cstheme="minorEastAsia"/>
          <w:sz w:val="24"/>
          <w:szCs w:val="24"/>
        </w:rPr>
        <w:t>。</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2、密封后，应在每一密封件上明确标注磋商项目名称、磋商响应文件各自对应的名称、供应商全称及日期，同时加盖供应商公章。</w:t>
      </w:r>
    </w:p>
    <w:p>
      <w:pPr>
        <w:snapToGrid w:val="0"/>
        <w:spacing w:line="360" w:lineRule="auto"/>
        <w:ind w:firstLine="482"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b/>
          <w:sz w:val="24"/>
          <w:szCs w:val="24"/>
        </w:rPr>
        <w:t>特别提醒：</w:t>
      </w:r>
      <w:r>
        <w:rPr>
          <w:rFonts w:hint="eastAsia" w:asciiTheme="majorEastAsia" w:hAnsiTheme="majorEastAsia" w:eastAsiaTheme="majorEastAsia" w:cstheme="minorEastAsia"/>
          <w:bCs/>
          <w:sz w:val="24"/>
          <w:szCs w:val="24"/>
        </w:rPr>
        <w:t>资格审查文件及技术响应文件</w:t>
      </w:r>
      <w:r>
        <w:rPr>
          <w:rFonts w:hint="eastAsia" w:asciiTheme="majorEastAsia" w:hAnsiTheme="majorEastAsia" w:eastAsiaTheme="majorEastAsia" w:cstheme="minorEastAsia"/>
          <w:sz w:val="24"/>
          <w:szCs w:val="24"/>
        </w:rPr>
        <w:t>中，均不得含有任何有关报价的内容，否则作无效磋商处理。</w:t>
      </w:r>
    </w:p>
    <w:p>
      <w:pPr>
        <w:snapToGrid w:val="0"/>
        <w:spacing w:line="480" w:lineRule="exact"/>
        <w:ind w:firstLine="496" w:firstLineChars="206"/>
        <w:outlineLvl w:val="1"/>
        <w:rPr>
          <w:rFonts w:ascii="宋体" w:hAnsi="宋体" w:eastAsia="宋体" w:cs="宋体"/>
          <w:b/>
          <w:bCs/>
          <w:sz w:val="24"/>
          <w:szCs w:val="24"/>
        </w:rPr>
      </w:pPr>
      <w:bookmarkStart w:id="3" w:name="_Toc363573855"/>
      <w:r>
        <w:rPr>
          <w:rFonts w:hint="eastAsia" w:ascii="宋体" w:hAnsi="宋体" w:eastAsia="宋体" w:cs="宋体"/>
          <w:b/>
          <w:bCs/>
          <w:sz w:val="24"/>
          <w:szCs w:val="24"/>
        </w:rPr>
        <w:t>六、磋商报价</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1、本项目不接受任何有选择的报价。</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2、磋商报价均以人民币为报价的币种。</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3、磋商报价表必须加盖供应商公章且必须经法定代表人或被授权人签字或盖章。报价表中的大写金额与小写金额、总价金额与按单价汇总金额，若有差异，将执行《政府采购货物和服务招标投标管理办法》第41条的规定。</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4、供应商应按本竞争性磋商文件内项目需求的全部采购内容计算总价。</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5、磋商报价的总价中应包含：供应商为完成本项目规定的各项工作所承担的全部费用、利润和税金及政策性文件规定合同包含内的所有风险责任等各项费用，不论其在招标文件中是否提及。即招标物交付使用前的所有费用以及免保期内的服务费用等包含响应竞争性磋商文件采购要求的所有费用。</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6、本项目磋商报价包含实地调研、专家访谈、资料编制等的所有费用（含交通费等）。</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7、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8、竞争性磋商的最终报价为成交价。同时，供应商的最终成交价在合同实施期间不因市场变化因素而变动。</w:t>
      </w:r>
    </w:p>
    <w:p>
      <w:pPr>
        <w:snapToGrid w:val="0"/>
        <w:spacing w:line="480" w:lineRule="exact"/>
        <w:ind w:firstLine="482" w:firstLineChars="200"/>
        <w:outlineLvl w:val="1"/>
        <w:rPr>
          <w:rFonts w:ascii="宋体" w:hAnsi="宋体" w:eastAsia="宋体" w:cs="宋体"/>
          <w:sz w:val="24"/>
          <w:szCs w:val="24"/>
        </w:rPr>
      </w:pPr>
      <w:r>
        <w:rPr>
          <w:rFonts w:hint="eastAsia" w:ascii="宋体" w:hAnsi="宋体" w:eastAsia="宋体" w:cs="宋体"/>
          <w:b/>
          <w:bCs/>
          <w:color w:val="000000"/>
          <w:sz w:val="24"/>
          <w:szCs w:val="24"/>
        </w:rPr>
        <w:t>七、</w:t>
      </w:r>
      <w:r>
        <w:rPr>
          <w:rFonts w:hint="eastAsia" w:ascii="宋体" w:hAnsi="宋体" w:eastAsia="宋体" w:cs="宋体"/>
          <w:b/>
          <w:kern w:val="0"/>
          <w:sz w:val="24"/>
          <w:szCs w:val="24"/>
        </w:rPr>
        <w:t>磋商</w:t>
      </w:r>
      <w:r>
        <w:rPr>
          <w:rFonts w:hint="eastAsia" w:ascii="宋体" w:hAnsi="宋体" w:eastAsia="宋体" w:cs="宋体"/>
          <w:b/>
          <w:bCs/>
          <w:sz w:val="24"/>
          <w:szCs w:val="24"/>
        </w:rPr>
        <w:t>费用</w:t>
      </w:r>
    </w:p>
    <w:p>
      <w:pPr>
        <w:snapToGrid w:val="0"/>
        <w:spacing w:line="480" w:lineRule="exact"/>
        <w:ind w:firstLine="460" w:firstLineChars="192"/>
        <w:rPr>
          <w:rFonts w:ascii="宋体" w:hAnsi="宋体" w:eastAsia="宋体" w:cs="宋体"/>
          <w:color w:val="000000"/>
          <w:sz w:val="24"/>
          <w:szCs w:val="24"/>
        </w:rPr>
      </w:pPr>
      <w:r>
        <w:rPr>
          <w:rFonts w:hint="eastAsia" w:ascii="宋体" w:hAnsi="宋体" w:eastAsia="宋体" w:cs="宋体"/>
          <w:sz w:val="24"/>
          <w:szCs w:val="24"/>
        </w:rPr>
        <w:t>1、供应商应承担其编制响应文件以及递交响应文件所涉及的一切费用。无论磋商结果如何，采购人对上述费用不负任何责任</w:t>
      </w:r>
      <w:r>
        <w:rPr>
          <w:rFonts w:hint="eastAsia" w:ascii="宋体" w:hAnsi="宋体" w:eastAsia="宋体" w:cs="宋体"/>
          <w:color w:val="000000"/>
          <w:sz w:val="24"/>
          <w:szCs w:val="24"/>
        </w:rPr>
        <w:t>。</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2、磋商文件及相关资料费300元/份，由供应商在递交响应文件时缴纳，售后不退。</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3、本次磋商采购代理服务费人民币</w:t>
      </w:r>
      <w:r>
        <w:rPr>
          <w:rFonts w:hint="eastAsia" w:ascii="宋体" w:hAnsi="宋体" w:eastAsia="宋体" w:cs="宋体"/>
          <w:sz w:val="24"/>
          <w:szCs w:val="24"/>
          <w:u w:val="single"/>
        </w:rPr>
        <w:t>1200元</w:t>
      </w:r>
      <w:r>
        <w:rPr>
          <w:rFonts w:hint="eastAsia" w:ascii="宋体" w:hAnsi="宋体" w:eastAsia="宋体" w:cs="宋体"/>
          <w:sz w:val="24"/>
          <w:szCs w:val="24"/>
        </w:rPr>
        <w:t>整，供应商须综合考虑在响应报价内，由成交供应商在领取成交通知书时向采购代理机构一次性付清。</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4、供应商须将磋商专家评审费综合考虑在响应报价内，费用标准按省财政厅《关于规范列支政府采购专家评审费的通知》(通财购〔2018〕18号)执行。评审费由成交供应商在取得中标通知书时，向招标代理机构一次性按实付清。</w:t>
      </w:r>
    </w:p>
    <w:p>
      <w:pPr>
        <w:snapToGrid w:val="0"/>
        <w:spacing w:line="480" w:lineRule="exact"/>
        <w:ind w:firstLine="463" w:firstLineChars="192"/>
        <w:rPr>
          <w:rFonts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八、未尽事宜</w:t>
      </w:r>
    </w:p>
    <w:p>
      <w:pPr>
        <w:snapToGrid w:val="0"/>
        <w:spacing w:line="480" w:lineRule="exact"/>
        <w:ind w:firstLine="494" w:firstLineChars="206"/>
        <w:rPr>
          <w:rFonts w:ascii="宋体" w:hAnsi="宋体" w:eastAsia="宋体" w:cs="宋体"/>
          <w:color w:val="000000"/>
          <w:sz w:val="24"/>
          <w:szCs w:val="24"/>
        </w:rPr>
      </w:pPr>
      <w:r>
        <w:rPr>
          <w:rFonts w:hint="eastAsia" w:ascii="宋体" w:hAnsi="宋体" w:eastAsia="宋体" w:cs="宋体"/>
          <w:color w:val="000000"/>
          <w:sz w:val="24"/>
          <w:szCs w:val="24"/>
        </w:rPr>
        <w:t>按《中华人民共和国政府采购法</w:t>
      </w:r>
      <w:r>
        <w:rPr>
          <w:rFonts w:hint="eastAsia" w:ascii="宋体" w:hAnsi="宋体" w:eastAsia="宋体" w:cs="宋体"/>
          <w:color w:val="000000"/>
          <w:sz w:val="28"/>
          <w:szCs w:val="28"/>
        </w:rPr>
        <w:t>》、</w:t>
      </w:r>
      <w:r>
        <w:rPr>
          <w:rFonts w:hint="eastAsia" w:ascii="宋体" w:hAnsi="宋体" w:eastAsia="宋体" w:cs="宋体"/>
          <w:color w:val="000000"/>
          <w:sz w:val="24"/>
          <w:szCs w:val="24"/>
        </w:rPr>
        <w:t>《政府采购竞争性磋商采购方式管理暂行办法》及其他有关法律法规的规定执行。若本文件与法律法规规定有冲突之处，则按照法律法规规定执行。</w:t>
      </w:r>
    </w:p>
    <w:p>
      <w:pPr>
        <w:tabs>
          <w:tab w:val="left" w:pos="1050"/>
          <w:tab w:val="right" w:leader="dot" w:pos="9402"/>
        </w:tabs>
        <w:snapToGrid w:val="0"/>
        <w:spacing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sz w:val="24"/>
          <w:szCs w:val="24"/>
        </w:rPr>
        <w:br w:type="page"/>
      </w:r>
      <w:r>
        <w:rPr>
          <w:rFonts w:hint="eastAsia" w:asciiTheme="majorEastAsia" w:hAnsiTheme="majorEastAsia" w:eastAsiaTheme="majorEastAsia" w:cstheme="minorEastAsia"/>
          <w:b/>
          <w:w w:val="80"/>
          <w:sz w:val="36"/>
          <w:szCs w:val="36"/>
        </w:rPr>
        <w:t>第三章 项目需求</w:t>
      </w:r>
      <w:bookmarkEnd w:id="3"/>
    </w:p>
    <w:p>
      <w:pPr>
        <w:spacing w:line="480" w:lineRule="exact"/>
        <w:ind w:firstLine="482" w:firstLineChars="200"/>
        <w:rPr>
          <w:rFonts w:ascii="宋体" w:hAnsi="宋体" w:eastAsia="宋体"/>
          <w:sz w:val="24"/>
          <w:szCs w:val="24"/>
        </w:rPr>
      </w:pPr>
      <w:bookmarkStart w:id="4" w:name="_Toc13543213"/>
      <w:r>
        <w:rPr>
          <w:rFonts w:hint="eastAsia" w:ascii="宋体" w:hAnsi="宋体" w:eastAsia="宋体"/>
          <w:b/>
          <w:sz w:val="24"/>
          <w:szCs w:val="24"/>
        </w:rPr>
        <w:t>请供应商在制作响应文件时仔细研究项目需求说明</w:t>
      </w:r>
      <w:r>
        <w:rPr>
          <w:rFonts w:hint="eastAsia" w:ascii="宋体" w:hAnsi="宋体" w:eastAsia="宋体"/>
          <w:sz w:val="24"/>
          <w:szCs w:val="24"/>
        </w:rPr>
        <w:t>。供应商不能简单照搬照抄采购人项目需求说明中的各项要求，必须作实事求是的响应。如照搬照抄项目需求中的要求的，成交供应商在同采购人签订合同和履约环节中不得提出异议，一切后果和损失由成交供应商承担。如供应商提供的货物和服务同采购人提出的项目需求不同的，必须在《技术响应正负偏离表》上明示，如不明示的视同完全响应。</w:t>
      </w:r>
    </w:p>
    <w:p>
      <w:pPr>
        <w:spacing w:line="480" w:lineRule="exact"/>
        <w:ind w:firstLine="482" w:firstLineChars="200"/>
        <w:rPr>
          <w:rFonts w:ascii="宋体" w:hAnsi="宋体" w:eastAsia="宋体"/>
          <w:sz w:val="24"/>
          <w:szCs w:val="24"/>
        </w:rPr>
      </w:pPr>
      <w:r>
        <w:rPr>
          <w:rFonts w:hint="eastAsia" w:ascii="宋体" w:hAnsi="宋体" w:eastAsia="宋体"/>
          <w:b/>
          <w:bCs/>
          <w:sz w:val="24"/>
          <w:szCs w:val="24"/>
        </w:rPr>
        <w:t>一、项目概况</w:t>
      </w:r>
    </w:p>
    <w:p>
      <w:pPr>
        <w:widowControl/>
        <w:spacing w:line="480" w:lineRule="exact"/>
        <w:ind w:firstLine="480" w:firstLineChars="200"/>
        <w:contextualSpacing/>
        <w:rPr>
          <w:rFonts w:ascii="宋体" w:hAnsi="宋体" w:eastAsia="宋体"/>
          <w:sz w:val="24"/>
          <w:szCs w:val="24"/>
        </w:rPr>
      </w:pPr>
      <w:r>
        <w:rPr>
          <w:rFonts w:hint="eastAsia" w:ascii="宋体" w:hAnsi="宋体" w:eastAsia="宋体"/>
          <w:sz w:val="24"/>
          <w:szCs w:val="24"/>
        </w:rPr>
        <w:t>为落实《网络安全法》第二十一条第三款“网络运营者应当按照网络安全等级保护制度的要求”，南通市妇幼保健院决定对单位信息系统进行网络安全等级保护测评，以明确信息系统现状，发现系统内部存在的安全隐患和不足，明确整改方向，降低系统被攻击的风险。</w:t>
      </w:r>
    </w:p>
    <w:p>
      <w:pPr>
        <w:widowControl/>
        <w:spacing w:line="480" w:lineRule="exact"/>
        <w:ind w:firstLine="480" w:firstLineChars="200"/>
        <w:contextualSpacing/>
        <w:rPr>
          <w:rFonts w:ascii="宋体" w:hAnsi="宋体" w:eastAsia="宋体"/>
          <w:sz w:val="24"/>
          <w:szCs w:val="24"/>
        </w:rPr>
      </w:pPr>
      <w:r>
        <w:rPr>
          <w:rFonts w:hint="eastAsia" w:ascii="宋体" w:hAnsi="宋体" w:eastAsia="宋体"/>
          <w:sz w:val="24"/>
          <w:szCs w:val="24"/>
        </w:rPr>
        <w:t>1、测评范围</w:t>
      </w:r>
    </w:p>
    <w:tbl>
      <w:tblPr>
        <w:tblStyle w:val="5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4796"/>
        <w:gridCol w:w="828"/>
        <w:gridCol w:w="219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03"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序号</w:t>
            </w:r>
          </w:p>
        </w:tc>
        <w:tc>
          <w:tcPr>
            <w:tcW w:w="2434"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系统名称</w:t>
            </w:r>
          </w:p>
        </w:tc>
        <w:tc>
          <w:tcPr>
            <w:tcW w:w="420"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系统数量</w:t>
            </w:r>
          </w:p>
        </w:tc>
        <w:tc>
          <w:tcPr>
            <w:tcW w:w="1115"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备案情况</w:t>
            </w:r>
          </w:p>
        </w:tc>
        <w:tc>
          <w:tcPr>
            <w:tcW w:w="626"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3" w:type="pct"/>
            <w:vAlign w:val="center"/>
          </w:tcPr>
          <w:p>
            <w:pPr>
              <w:pStyle w:val="136"/>
              <w:spacing w:line="276" w:lineRule="auto"/>
              <w:ind w:firstLine="0" w:firstLineChars="0"/>
              <w:jc w:val="center"/>
              <w:rPr>
                <w:rFonts w:ascii="宋体" w:hAnsi="宋体" w:eastAsia="宋体" w:cs="宋体"/>
                <w:sz w:val="24"/>
                <w:szCs w:val="24"/>
              </w:rPr>
            </w:pPr>
            <w:r>
              <w:rPr>
                <w:rFonts w:hint="eastAsia" w:ascii="宋体" w:hAnsi="宋体" w:eastAsia="宋体" w:cs="宋体"/>
                <w:sz w:val="24"/>
                <w:szCs w:val="24"/>
              </w:rPr>
              <w:t>1</w:t>
            </w:r>
          </w:p>
        </w:tc>
        <w:tc>
          <w:tcPr>
            <w:tcW w:w="2434"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集成平台数据中心</w:t>
            </w:r>
          </w:p>
        </w:tc>
        <w:tc>
          <w:tcPr>
            <w:tcW w:w="420"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1个</w:t>
            </w:r>
          </w:p>
        </w:tc>
        <w:tc>
          <w:tcPr>
            <w:tcW w:w="1115"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三级</w:t>
            </w:r>
          </w:p>
        </w:tc>
        <w:tc>
          <w:tcPr>
            <w:tcW w:w="626" w:type="pct"/>
            <w:vAlign w:val="center"/>
          </w:tcPr>
          <w:p>
            <w:pPr>
              <w:spacing w:line="276"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3" w:type="pct"/>
            <w:vAlign w:val="center"/>
          </w:tcPr>
          <w:p>
            <w:pPr>
              <w:pStyle w:val="136"/>
              <w:spacing w:line="276" w:lineRule="auto"/>
              <w:ind w:firstLine="0" w:firstLineChars="0"/>
              <w:jc w:val="center"/>
              <w:rPr>
                <w:rFonts w:ascii="宋体" w:hAnsi="宋体" w:eastAsia="宋体" w:cs="宋体"/>
                <w:sz w:val="24"/>
                <w:szCs w:val="24"/>
              </w:rPr>
            </w:pPr>
            <w:r>
              <w:rPr>
                <w:rFonts w:hint="eastAsia" w:ascii="宋体" w:hAnsi="宋体" w:eastAsia="宋体" w:cs="宋体"/>
                <w:sz w:val="24"/>
                <w:szCs w:val="24"/>
              </w:rPr>
              <w:t>2</w:t>
            </w:r>
          </w:p>
        </w:tc>
        <w:tc>
          <w:tcPr>
            <w:tcW w:w="2434"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互联网医院</w:t>
            </w:r>
          </w:p>
        </w:tc>
        <w:tc>
          <w:tcPr>
            <w:tcW w:w="420"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1个</w:t>
            </w:r>
          </w:p>
        </w:tc>
        <w:tc>
          <w:tcPr>
            <w:tcW w:w="1115"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三级</w:t>
            </w:r>
          </w:p>
        </w:tc>
        <w:tc>
          <w:tcPr>
            <w:tcW w:w="626" w:type="pct"/>
            <w:vAlign w:val="center"/>
          </w:tcPr>
          <w:p>
            <w:pPr>
              <w:spacing w:line="276"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3" w:type="pct"/>
            <w:vAlign w:val="center"/>
          </w:tcPr>
          <w:p>
            <w:pPr>
              <w:pStyle w:val="136"/>
              <w:spacing w:line="276" w:lineRule="auto"/>
              <w:ind w:firstLine="0" w:firstLineChars="0"/>
              <w:jc w:val="center"/>
              <w:rPr>
                <w:rFonts w:ascii="宋体" w:hAnsi="宋体" w:eastAsia="宋体" w:cs="宋体"/>
                <w:sz w:val="24"/>
                <w:szCs w:val="24"/>
              </w:rPr>
            </w:pPr>
            <w:r>
              <w:rPr>
                <w:rFonts w:hint="eastAsia" w:ascii="宋体" w:hAnsi="宋体" w:eastAsia="宋体" w:cs="宋体"/>
                <w:sz w:val="24"/>
                <w:szCs w:val="24"/>
              </w:rPr>
              <w:t>3</w:t>
            </w:r>
          </w:p>
        </w:tc>
        <w:tc>
          <w:tcPr>
            <w:tcW w:w="2434"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CIS临床医疗信息系统</w:t>
            </w:r>
          </w:p>
        </w:tc>
        <w:tc>
          <w:tcPr>
            <w:tcW w:w="420"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1个</w:t>
            </w:r>
          </w:p>
        </w:tc>
        <w:tc>
          <w:tcPr>
            <w:tcW w:w="1115"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三级</w:t>
            </w:r>
          </w:p>
        </w:tc>
        <w:tc>
          <w:tcPr>
            <w:tcW w:w="626" w:type="pct"/>
            <w:vAlign w:val="center"/>
          </w:tcPr>
          <w:p>
            <w:pPr>
              <w:spacing w:line="276"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03" w:type="pct"/>
            <w:vAlign w:val="center"/>
          </w:tcPr>
          <w:p>
            <w:pPr>
              <w:pStyle w:val="136"/>
              <w:spacing w:line="276" w:lineRule="auto"/>
              <w:ind w:firstLine="0" w:firstLineChars="0"/>
              <w:jc w:val="center"/>
              <w:rPr>
                <w:rFonts w:ascii="宋体" w:hAnsi="宋体" w:eastAsia="宋体" w:cs="宋体"/>
                <w:sz w:val="24"/>
                <w:szCs w:val="24"/>
              </w:rPr>
            </w:pPr>
            <w:r>
              <w:rPr>
                <w:rFonts w:hint="eastAsia" w:ascii="宋体" w:hAnsi="宋体" w:eastAsia="宋体" w:cs="宋体"/>
                <w:sz w:val="24"/>
                <w:szCs w:val="24"/>
              </w:rPr>
              <w:t>4</w:t>
            </w:r>
          </w:p>
        </w:tc>
        <w:tc>
          <w:tcPr>
            <w:tcW w:w="2434"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OA办公系统</w:t>
            </w:r>
          </w:p>
        </w:tc>
        <w:tc>
          <w:tcPr>
            <w:tcW w:w="420"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1个</w:t>
            </w:r>
          </w:p>
        </w:tc>
        <w:tc>
          <w:tcPr>
            <w:tcW w:w="1115" w:type="pct"/>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二级</w:t>
            </w:r>
          </w:p>
        </w:tc>
        <w:tc>
          <w:tcPr>
            <w:tcW w:w="626" w:type="pct"/>
            <w:vAlign w:val="center"/>
          </w:tcPr>
          <w:p>
            <w:pPr>
              <w:spacing w:line="276" w:lineRule="auto"/>
              <w:jc w:val="center"/>
              <w:rPr>
                <w:rFonts w:ascii="宋体" w:hAnsi="宋体" w:eastAsia="宋体" w:cs="宋体"/>
                <w:sz w:val="24"/>
                <w:szCs w:val="24"/>
              </w:rPr>
            </w:pPr>
          </w:p>
        </w:tc>
      </w:tr>
    </w:tbl>
    <w:p>
      <w:pPr>
        <w:spacing w:line="480" w:lineRule="exact"/>
        <w:ind w:firstLine="480" w:firstLineChars="200"/>
        <w:rPr>
          <w:rFonts w:ascii="宋体" w:hAnsi="宋体" w:eastAsia="宋体"/>
          <w:sz w:val="24"/>
          <w:szCs w:val="24"/>
        </w:rPr>
      </w:pPr>
      <w:r>
        <w:rPr>
          <w:rFonts w:hint="eastAsia" w:ascii="宋体" w:hAnsi="宋体" w:eastAsia="宋体"/>
          <w:sz w:val="24"/>
          <w:szCs w:val="24"/>
        </w:rPr>
        <w:t>2、其他需求</w:t>
      </w:r>
    </w:p>
    <w:tbl>
      <w:tblPr>
        <w:tblStyle w:val="58"/>
        <w:tblW w:w="5026"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9"/>
        <w:gridCol w:w="1985"/>
        <w:gridCol w:w="5127"/>
        <w:gridCol w:w="18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418" w:type="pct"/>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序号</w:t>
            </w:r>
          </w:p>
        </w:tc>
        <w:tc>
          <w:tcPr>
            <w:tcW w:w="1012" w:type="pct"/>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服务项目</w:t>
            </w:r>
          </w:p>
        </w:tc>
        <w:tc>
          <w:tcPr>
            <w:tcW w:w="2614" w:type="pct"/>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服务内容</w:t>
            </w:r>
          </w:p>
        </w:tc>
        <w:tc>
          <w:tcPr>
            <w:tcW w:w="954" w:type="pct"/>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服务时间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54" w:hRule="atLeast"/>
          <w:jc w:val="center"/>
        </w:trPr>
        <w:tc>
          <w:tcPr>
            <w:tcW w:w="418" w:type="pct"/>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1</w:t>
            </w:r>
          </w:p>
        </w:tc>
        <w:tc>
          <w:tcPr>
            <w:tcW w:w="1012" w:type="pct"/>
            <w:tcBorders>
              <w:top w:val="nil"/>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培训</w:t>
            </w:r>
          </w:p>
        </w:tc>
        <w:tc>
          <w:tcPr>
            <w:tcW w:w="2614" w:type="pct"/>
            <w:tcBorders>
              <w:top w:val="nil"/>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line="276" w:lineRule="auto"/>
              <w:ind w:firstLine="420"/>
              <w:jc w:val="center"/>
              <w:rPr>
                <w:rFonts w:eastAsia="宋体"/>
              </w:rPr>
            </w:pPr>
            <w:r>
              <w:rPr>
                <w:rFonts w:hint="eastAsia" w:eastAsia="宋体"/>
              </w:rPr>
              <w:t>提供CIIP-T、CIIP-E培训名额各一个</w:t>
            </w:r>
          </w:p>
        </w:tc>
        <w:tc>
          <w:tcPr>
            <w:tcW w:w="954" w:type="pct"/>
            <w:tcBorders>
              <w:top w:val="nil"/>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54" w:hRule="atLeast"/>
          <w:jc w:val="center"/>
        </w:trPr>
        <w:tc>
          <w:tcPr>
            <w:tcW w:w="418" w:type="pct"/>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2</w:t>
            </w:r>
          </w:p>
        </w:tc>
        <w:tc>
          <w:tcPr>
            <w:tcW w:w="1012" w:type="pct"/>
            <w:tcBorders>
              <w:top w:val="nil"/>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网站云防护</w:t>
            </w:r>
          </w:p>
        </w:tc>
        <w:tc>
          <w:tcPr>
            <w:tcW w:w="2614" w:type="pct"/>
            <w:tcBorders>
              <w:top w:val="nil"/>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line="276" w:lineRule="auto"/>
              <w:ind w:firstLine="420"/>
              <w:jc w:val="center"/>
              <w:rPr>
                <w:rFonts w:eastAsia="宋体"/>
              </w:rPr>
            </w:pPr>
            <w:r>
              <w:rPr>
                <w:rFonts w:hint="eastAsia" w:eastAsia="宋体"/>
              </w:rPr>
              <w:t>对妇幼保健院官网进行云waf防御</w:t>
            </w:r>
          </w:p>
        </w:tc>
        <w:tc>
          <w:tcPr>
            <w:tcW w:w="954" w:type="pct"/>
            <w:tcBorders>
              <w:top w:val="nil"/>
              <w:left w:val="nil"/>
              <w:bottom w:val="single" w:color="auto" w:sz="8" w:space="0"/>
              <w:right w:val="single" w:color="auto" w:sz="8" w:space="0"/>
            </w:tcBorders>
            <w:tcMar>
              <w:top w:w="57" w:type="dxa"/>
              <w:left w:w="57" w:type="dxa"/>
              <w:bottom w:w="57" w:type="dxa"/>
              <w:right w:w="57" w:type="dxa"/>
            </w:tcMar>
            <w:vAlign w:val="center"/>
          </w:tcPr>
          <w:p>
            <w:pPr>
              <w:pStyle w:val="174"/>
              <w:spacing w:before="0" w:beforeAutospacing="0" w:after="0" w:afterAutospacing="0"/>
              <w:jc w:val="center"/>
              <w:rPr>
                <w:rFonts w:eastAsia="宋体"/>
              </w:rPr>
            </w:pPr>
            <w:r>
              <w:rPr>
                <w:rFonts w:hint="eastAsia" w:eastAsia="宋体"/>
              </w:rPr>
              <w:t>一年</w:t>
            </w:r>
          </w:p>
        </w:tc>
      </w:tr>
    </w:tbl>
    <w:p>
      <w:pPr>
        <w:spacing w:line="480" w:lineRule="exact"/>
        <w:ind w:firstLine="482" w:firstLineChars="200"/>
        <w:rPr>
          <w:rFonts w:ascii="宋体" w:hAnsi="宋体" w:eastAsia="宋体"/>
          <w:b/>
          <w:bCs/>
          <w:sz w:val="24"/>
          <w:szCs w:val="24"/>
        </w:rPr>
      </w:pPr>
      <w:r>
        <w:rPr>
          <w:rFonts w:hint="eastAsia" w:ascii="宋体" w:hAnsi="宋体" w:eastAsia="宋体"/>
          <w:b/>
          <w:bCs/>
          <w:sz w:val="24"/>
          <w:szCs w:val="24"/>
        </w:rPr>
        <w:t>二、测评内容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1、总体要求：</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A．完成上述系统安全等级测评工作，测评后经用户方确认，出具符合网络安全等级保护测评要求的测评报告；</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B．对上述系统不符合网络安全等级保护有关管理规范和技术标准的，提出可行性整改方案，提供相应的安全整改建议书。</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2、质量要求：</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A．等级测评及服务原则：符合性原则、标准性原则、规范性原则、可控性原则、整体性原则。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B．网络安全等级保护定级及测评服务依据：</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《中华人民共和国网络安全法》，</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《GB/T22239-2019信息安全技术 网络安全等级保护基本要求》，</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《GB/T28448-2019 信息安全技术 网络安全等级保护测评要求》，</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《GB/T 28449-2018 信息安全技术 网络安全等级保护测评过程指南》，</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《GB/T 25058-2019 信息安全技术 网络安全等级保护实施指南》。</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3、网络安全等级保护测评内容：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A．安全技术测评：包括安全物理环境、安全区域边界、安全通信网络、安全计算环境和安全管理中心五个方面的安全测评。</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B．安全管理测评：安全管理机构、安全管理制度、安全管理人员、安全建设管理和安全运维管理五个方面的安全控制测评。</w:t>
      </w:r>
    </w:p>
    <w:p>
      <w:pPr>
        <w:spacing w:line="480" w:lineRule="exact"/>
        <w:ind w:firstLine="480" w:firstLineChars="200"/>
        <w:rPr>
          <w:rFonts w:eastAsia="宋体"/>
          <w:sz w:val="24"/>
          <w:szCs w:val="24"/>
        </w:rPr>
      </w:pPr>
      <w:r>
        <w:rPr>
          <w:rFonts w:hint="eastAsia" w:ascii="宋体" w:hAnsi="宋体" w:eastAsia="宋体"/>
          <w:sz w:val="24"/>
          <w:szCs w:val="24"/>
        </w:rPr>
        <w:t>4、提供整改咨询服务，根据所测系统的最终测评报告，对系统现状提出安全整改建议并协助整改工作，以期达到整改目的。</w:t>
      </w:r>
    </w:p>
    <w:p>
      <w:pPr>
        <w:spacing w:line="480" w:lineRule="exact"/>
        <w:ind w:firstLine="482" w:firstLineChars="200"/>
        <w:rPr>
          <w:rFonts w:ascii="宋体" w:hAnsi="宋体" w:eastAsia="宋体"/>
          <w:b/>
          <w:sz w:val="24"/>
          <w:szCs w:val="24"/>
        </w:rPr>
      </w:pPr>
      <w:r>
        <w:rPr>
          <w:rFonts w:hint="eastAsia" w:ascii="宋体" w:hAnsi="宋体" w:eastAsia="宋体"/>
          <w:b/>
          <w:sz w:val="24"/>
          <w:szCs w:val="24"/>
        </w:rPr>
        <w:t>三、测评原则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1、客观性和公正性原则：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测评人员应当没有偏见，在最小主观判断情形下，按照评估双方相互认可的评估方案，基于明确定义的测评方式和解释，实施评估活动。</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2、可重复性和可再现性原则：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3、连续性原则：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4、扩展性原则：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在评估过程结束后，信息安全测评过程要保持扩展性，从扩展的属性上进一步加强测评结束后采购方的安全管理有效性和可用性。</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5、保密原则：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在测评过程中，需严格遵循保密原则，双方签订保密协议，对服务过程中涉及到的任何用户信息未经允许不向其他任何第三方泄漏，以及不得利用这些信息损害采购方利益。</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6、互动原则：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在整个测评过程中，强调采购方的互动参与，每个阶段都能够及时根据采购方的要求和实际情况对测评的内容、方式做出相关调整，进而更好的进行风险评估工作。</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7、最小影响原则：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测评工作应该尽可能小地影响系统和网络的正常运行，不能对业务的正常运行产生明显的影响（包括系统性能明显下降、网络阻塞、服务中断等），如无法避免，则应做出说明。</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8、规范性原则：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网络安全等级保护测评服务的实施必须由专业的测评服务人员依照规范的操作流程进行，对操作过程和结果要有相应的记录，并提供完整的服务报告。</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9、质量保障原则：</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在整个测评过程中，须特别重视项目质量管理。项目的实施将严格按照项目实施方案和流程进行，并由项目协调小组从中监督，控制项目的进度和质量。</w:t>
      </w:r>
    </w:p>
    <w:p>
      <w:pPr>
        <w:spacing w:line="480" w:lineRule="exact"/>
        <w:ind w:firstLine="482" w:firstLineChars="200"/>
        <w:rPr>
          <w:rFonts w:ascii="宋体" w:hAnsi="宋体" w:eastAsia="宋体"/>
          <w:b/>
          <w:sz w:val="24"/>
          <w:szCs w:val="24"/>
        </w:rPr>
      </w:pPr>
      <w:r>
        <w:rPr>
          <w:rFonts w:hint="eastAsia" w:ascii="宋体" w:hAnsi="宋体" w:eastAsia="宋体"/>
          <w:b/>
          <w:sz w:val="24"/>
          <w:szCs w:val="24"/>
        </w:rPr>
        <w:t>四、测评人员和时限要求</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
          <w:bCs/>
          <w:sz w:val="24"/>
          <w:szCs w:val="24"/>
        </w:rPr>
        <w:t>测评驻场人员要求：本次测评至少需要1名高级测评师，1名中级测评师， 2名初级测评师。</w:t>
      </w:r>
      <w:r>
        <w:rPr>
          <w:rFonts w:hint="eastAsia" w:ascii="宋体" w:hAnsi="宋体" w:eastAsia="宋体"/>
          <w:sz w:val="24"/>
          <w:szCs w:val="24"/>
        </w:rPr>
        <w:t>本次等保测评项目不得转包或者分包，所有驻场测评师必须是中标公司自己的正式员工,所有驻场测评师必须持证上岗，</w:t>
      </w:r>
      <w:r>
        <w:rPr>
          <w:rFonts w:hint="eastAsia" w:ascii="宋体" w:hAnsi="宋体" w:eastAsia="宋体"/>
          <w:b/>
          <w:bCs/>
          <w:sz w:val="24"/>
          <w:szCs w:val="24"/>
        </w:rPr>
        <w:t>响应文件中应提供项目组成员名单、社保主管部门出具的响应单位为其缴纳社保的证明、相关证书复印件等</w:t>
      </w:r>
      <w:r>
        <w:rPr>
          <w:rFonts w:hint="eastAsia" w:ascii="宋体" w:hAnsi="宋体" w:eastAsia="宋体"/>
          <w:sz w:val="24"/>
          <w:szCs w:val="24"/>
        </w:rPr>
        <w:t>，未经采购方同意，项目组成员不得更改。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2、测评时间要求：按照被测单位要求，合同签订完毕一周内启动测评工作。</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3、测评期限要求：签订合同后60天内完成网络安全等级保护测评并出具盖章报告，并完成备案。</w:t>
      </w:r>
    </w:p>
    <w:p>
      <w:pPr>
        <w:spacing w:line="480" w:lineRule="exact"/>
        <w:ind w:firstLine="482" w:firstLineChars="200"/>
        <w:rPr>
          <w:rFonts w:ascii="宋体" w:hAnsi="宋体" w:eastAsia="宋体"/>
          <w:b/>
          <w:sz w:val="24"/>
          <w:szCs w:val="24"/>
        </w:rPr>
      </w:pPr>
      <w:r>
        <w:rPr>
          <w:rFonts w:hint="eastAsia" w:ascii="宋体" w:hAnsi="宋体" w:eastAsia="宋体"/>
          <w:b/>
          <w:sz w:val="24"/>
          <w:szCs w:val="24"/>
        </w:rPr>
        <w:t>五、服务地点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采购方指定地点。</w:t>
      </w:r>
    </w:p>
    <w:p>
      <w:pPr>
        <w:spacing w:line="480" w:lineRule="exact"/>
        <w:ind w:firstLine="482" w:firstLineChars="200"/>
        <w:rPr>
          <w:rFonts w:ascii="宋体" w:hAnsi="宋体" w:eastAsia="宋体"/>
          <w:b/>
          <w:sz w:val="24"/>
          <w:szCs w:val="24"/>
        </w:rPr>
      </w:pPr>
      <w:r>
        <w:rPr>
          <w:rFonts w:hint="eastAsia" w:ascii="宋体" w:hAnsi="宋体" w:eastAsia="宋体"/>
          <w:b/>
          <w:sz w:val="24"/>
          <w:szCs w:val="24"/>
        </w:rPr>
        <w:t>六、付款时间和条件</w:t>
      </w:r>
    </w:p>
    <w:p>
      <w:pPr>
        <w:spacing w:line="480" w:lineRule="exact"/>
        <w:ind w:firstLine="480" w:firstLineChars="200"/>
        <w:rPr>
          <w:rFonts w:asciiTheme="majorEastAsia" w:hAnsiTheme="majorEastAsia" w:eastAsiaTheme="majorEastAsia"/>
          <w:sz w:val="24"/>
          <w:szCs w:val="24"/>
        </w:rPr>
      </w:pPr>
      <w:r>
        <w:rPr>
          <w:rFonts w:hint="eastAsia" w:ascii="宋体" w:hAnsi="宋体" w:eastAsia="宋体"/>
          <w:sz w:val="24"/>
          <w:szCs w:val="24"/>
        </w:rPr>
        <w:t>本项目的测评费用,自提交测评报告起30个工作日内，由采购方一次性付清全款。</w:t>
      </w:r>
      <w:r>
        <w:rPr>
          <w:rFonts w:hint="eastAsia" w:asciiTheme="majorEastAsia" w:hAnsiTheme="majorEastAsia" w:eastAsiaTheme="majorEastAsia"/>
          <w:b/>
          <w:bCs/>
          <w:sz w:val="36"/>
          <w:szCs w:val="36"/>
          <w:lang w:val="zh-CN"/>
        </w:rPr>
        <w:br w:type="page"/>
      </w:r>
    </w:p>
    <w:p>
      <w:pPr>
        <w:tabs>
          <w:tab w:val="left" w:pos="1050"/>
          <w:tab w:val="right" w:leader="dot" w:pos="9402"/>
        </w:tabs>
        <w:snapToGrid w:val="0"/>
        <w:spacing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第四章</w:t>
      </w:r>
      <w:bookmarkStart w:id="5" w:name="_Toc182848996"/>
      <w:r>
        <w:rPr>
          <w:rFonts w:hint="eastAsia" w:asciiTheme="majorEastAsia" w:hAnsiTheme="majorEastAsia" w:eastAsiaTheme="majorEastAsia" w:cstheme="minorEastAsia"/>
          <w:b/>
          <w:w w:val="80"/>
          <w:sz w:val="36"/>
          <w:szCs w:val="36"/>
        </w:rPr>
        <w:t xml:space="preserve"> 评审方法和程序</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一、采购代理机构组织磋商</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1、本次竞争性磋商依据《中华人民共和国政府采购法》、《政府采购竞争性磋商采购方式管理暂行办法》及有关法规成立磋商小组。</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2、项目响应供应商的法定代表人或授权人须持身份证准时参加磋商评审会。</w:t>
      </w:r>
    </w:p>
    <w:p>
      <w:pPr>
        <w:adjustRightInd w:val="0"/>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二、磋商小组的职责</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磋商小组负责具体的磋商评审事务，并履行以下职责：</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1、审查磋商响应文件是否符合磋商文件的要求，并做出评价；</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2、可以要求供应商对磋商响应文件内的有关事项做出解释或澄清；</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3、推荐中标候选人或按次序排列的中标候选人名单；</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4、磋商小组成员应当履行下列义务：</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（1）遵纪守法，客观、公正、廉洁地履行职责；</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（2）磋商小组成员应当按照客观、公正、审慎的原则，根据磋商文件规定的评审程序、评审方法和评审标准进行独立评审；</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（3）磋商小组成员应当遵守评审工作纪律，不得泄漏磋商评审情况和磋商评审中获悉的商业秘密，对个人的评审意见承担法律责任；</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（4）磋商评审程序中的有关记录由磋商小组成员签名，存档备查；</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（5）磋商小组成员在评审过程中发现供应商有行贿、提供虚假材料或者串通等违法行为的，应当及时向财政部门报告；</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（6）磋商小组成员在磋商评审过程中受到非法干涉的，应当及时向财政、监察等部门举报；</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（7）磋商小组成员有义务及责任配合采购人答复供应商提出的质疑，配合财政部门的投诉处理和监督检查工作。</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竞争性磋商竞标开始后，直到公示项目成交结果，发出成交通知书并授予成交供应商合同为止，凡属于评审、澄清、评价和比较磋商响应的所有资料及有关授予合同等的相关信息，都严禁向响应供应商或与磋商评审无关的其他人（单位）泄漏。</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6、在磋商响应文件的评审、澄清、评价和比较以及授予合同的过程中，供应商对采购人和磋商小组成员有施加影响的任何行为，都将取消其中标资格。</w:t>
      </w:r>
    </w:p>
    <w:p>
      <w:pPr>
        <w:adjustRightInd w:val="0"/>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三、磋商原则及方法</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只有资格条件评审合格的供应商，才可参加技术标评分。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小组在对响应文件的有效性、完整性和响应程度进行审查时，可以以书面形式要求供应商对响应文件中含义不明确、同类问题表述不一致或者有明显文字和计算错误的内容等作出必要的澄清、说明或者更正。</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5、磋商小组所有成员应当集中与单一供应商分别进行磋商，并给予所有参加磋商的供应商平等的磋商机会。</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6、在磋商过程中，磋商小组可以根据磋商文件和磋商情况实质性变动采购需求中的技术、服务要求，但不得变动磋商文件中的其他内容。实质性变动的内容，须经采购单位代表确认。</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7、对磋商文件作出的实质性变动是磋商文件的有效组成部分，磋商小组应当及时以书面形式同时通知所有参加磋商的供应商。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9、经磋商确定最终采购需求和提交最后报价的供应商：磋商文件能够详细列明采购标的的技术、服务要求的，磋商结束后，磋商小组应当要求所有实质性响应的供应商在规定时间内提交最后报价。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10、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11、除非在磋商中磋商小组对采购单位需求内容作了调整增加，或对采购内容作了实质性变更，否则采购单位不接受供应商高于自己前一轮的磋商报价。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12、对于在磋商顺利开始后至最终报价前，根据磋商情况退出磋商的供应商，须以书面形式说明退出磋商的原因，经磋商小组同意可以退出磋商。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13、在磋商中，磋商的任何一方不得透露与磋商有关的其他响应磋商的供应商的技术资料、价格及其他信息。</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14、凡两家或以上公司同一法人代表或其中一家公司为另一家公司单一最大股东的，不能同时参与同一采购项目相同标段的磋商采购活动，一经发现，将视同串标处理。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15、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16、报价磋商响应评审内容包括分析总报价（首次）及各个分项报价（如有）是否合理，报价范围是否完整，有无重大错漏项及是否完全符合付款方式要求。如果供应商的响应报价中有漏项，且漏项构成未实质性响应磋商文件要求的，按无效磋商处理。</w:t>
      </w:r>
    </w:p>
    <w:p>
      <w:pPr>
        <w:snapToGrid w:val="0"/>
        <w:spacing w:line="360" w:lineRule="auto"/>
        <w:ind w:firstLine="484" w:firstLineChars="202"/>
        <w:outlineLvl w:val="1"/>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17、</w:t>
      </w:r>
      <w:r>
        <w:rPr>
          <w:rFonts w:hint="eastAsia" w:ascii="宋体" w:hAnsi="宋体" w:eastAsia="宋体" w:cs="宋体"/>
          <w:sz w:val="24"/>
          <w:szCs w:val="24"/>
        </w:rPr>
        <w:t>若本次采购过程中符合要求的供应商不足三家，则终止本次竞争性磋商采购活动，重新开展采购活动。</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四、磋商评定结果的方法</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1、经磋商确定最终采购需求和提交最后报价的供应商后，由磋商小组采用综合评分法对提交最后报价的供应商的响应文件和最后报价进行综合评分。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2、评审时，磋商小组各成员应当独立对每个有效响应的文件进行评价、打分，然后汇总每个供应商每项评分因素的得分（计算结果均四舍五入保留两位小数）。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 xml:space="preserve">3、本次项目磋商的技术和报价评审总分值为100分。两部分评审因素比重如下： </w:t>
      </w:r>
    </w:p>
    <w:p>
      <w:pPr>
        <w:snapToGrid w:val="0"/>
        <w:spacing w:line="360" w:lineRule="auto"/>
        <w:ind w:firstLine="484" w:firstLineChars="202"/>
        <w:rPr>
          <w:rFonts w:asciiTheme="majorEastAsia" w:hAnsiTheme="majorEastAsia" w:eastAsiaTheme="majorEastAsia" w:cstheme="minorEastAsia"/>
          <w:sz w:val="24"/>
          <w:szCs w:val="24"/>
          <w:u w:val="single"/>
        </w:rPr>
      </w:pPr>
      <w:r>
        <w:rPr>
          <w:rFonts w:hint="eastAsia" w:asciiTheme="majorEastAsia" w:hAnsiTheme="majorEastAsia" w:eastAsiaTheme="majorEastAsia" w:cstheme="minorEastAsia"/>
          <w:sz w:val="24"/>
          <w:szCs w:val="24"/>
          <w:u w:val="single"/>
        </w:rPr>
        <w:t>技术分值占总分值的比重为 70%（权重）（四舍五入保留两位小数）</w:t>
      </w:r>
      <w:r>
        <w:rPr>
          <w:rFonts w:hint="eastAsia" w:asciiTheme="majorEastAsia" w:hAnsiTheme="majorEastAsia" w:eastAsiaTheme="majorEastAsia" w:cstheme="minorEastAsia"/>
          <w:sz w:val="24"/>
          <w:szCs w:val="24"/>
        </w:rPr>
        <w:t>；</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u w:val="single"/>
        </w:rPr>
        <w:t>报价分值占总分值的比重为 30%（权重）（四舍五入保留两位小数）</w:t>
      </w:r>
      <w:r>
        <w:rPr>
          <w:rFonts w:hint="eastAsia" w:asciiTheme="majorEastAsia" w:hAnsiTheme="majorEastAsia" w:eastAsiaTheme="majorEastAsia" w:cstheme="minorEastAsia"/>
          <w:sz w:val="24"/>
          <w:szCs w:val="24"/>
        </w:rPr>
        <w:t>。</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4、技术分按算术平均值计算，分值四舍五入保留两位小数。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5、报价分统一采用低价优先法计算直接取得，与技术分相加为供应商的综合得分（四舍五入保留两位小数）。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6、综合得分最高的供应商推荐为项目预成交人并出具评审磋商报告。</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 xml:space="preserve">7、确定成交候选人的特殊情况处理： </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（1）若总分相同，则按最终报价响应得分高者优先成交。</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（2）若总分且最终报价响应得分相同，则采取现场抽签的方式确定（投标供应商的抽签顺序分别为各投标供应商递交响应文件签到顺序号）。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8、磋商评审时，评委对评审的细则若有争议，由磋商小组集体讨论确定，并对未尽情况有最终解释权。</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9、对落标的供应商不做落标原因的解释。</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五、综合评分规则</w:t>
      </w:r>
    </w:p>
    <w:bookmarkEnd w:id="5"/>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（一）技术标满分70分，评标委员会根据以下几个方面进行综合评估打分(取算术平均值，得分采用四舍五入法保留小数点后两位小数。)</w:t>
      </w:r>
    </w:p>
    <w:tbl>
      <w:tblPr>
        <w:tblStyle w:val="58"/>
        <w:tblW w:w="4997" w:type="pct"/>
        <w:tblInd w:w="0" w:type="dxa"/>
        <w:tblLayout w:type="autofit"/>
        <w:tblCellMar>
          <w:top w:w="0" w:type="dxa"/>
          <w:left w:w="108" w:type="dxa"/>
          <w:bottom w:w="0" w:type="dxa"/>
          <w:right w:w="108" w:type="dxa"/>
        </w:tblCellMar>
      </w:tblPr>
      <w:tblGrid>
        <w:gridCol w:w="1204"/>
        <w:gridCol w:w="835"/>
        <w:gridCol w:w="7808"/>
      </w:tblGrid>
      <w:tr>
        <w:tblPrEx>
          <w:tblCellMar>
            <w:top w:w="0" w:type="dxa"/>
            <w:left w:w="108" w:type="dxa"/>
            <w:bottom w:w="0" w:type="dxa"/>
            <w:right w:w="108" w:type="dxa"/>
          </w:tblCellMar>
        </w:tblPrEx>
        <w:trPr>
          <w:trHeight w:val="499" w:hRule="atLeast"/>
        </w:trPr>
        <w:tc>
          <w:tcPr>
            <w:tcW w:w="61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 w:val="24"/>
                <w:szCs w:val="24"/>
              </w:rPr>
            </w:pPr>
            <w:r>
              <w:rPr>
                <w:rFonts w:hint="eastAsia" w:ascii="宋体" w:hAnsi="宋体" w:eastAsia="宋体" w:cs="宋体"/>
                <w:b/>
                <w:sz w:val="24"/>
                <w:szCs w:val="24"/>
              </w:rPr>
              <w:t>评审项</w:t>
            </w: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 w:val="24"/>
                <w:szCs w:val="24"/>
              </w:rPr>
            </w:pPr>
            <w:r>
              <w:rPr>
                <w:rFonts w:hint="eastAsia" w:ascii="宋体" w:hAnsi="宋体" w:eastAsia="宋体" w:cs="宋体"/>
                <w:b/>
                <w:sz w:val="24"/>
                <w:szCs w:val="24"/>
              </w:rPr>
              <w:t>满分分值</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 w:val="24"/>
                <w:szCs w:val="24"/>
              </w:rPr>
            </w:pPr>
            <w:r>
              <w:rPr>
                <w:rFonts w:hint="eastAsia" w:ascii="宋体" w:hAnsi="宋体" w:eastAsia="宋体" w:cs="宋体"/>
                <w:b/>
                <w:sz w:val="24"/>
                <w:szCs w:val="24"/>
              </w:rPr>
              <w:t>评分标准</w:t>
            </w:r>
          </w:p>
        </w:tc>
      </w:tr>
      <w:tr>
        <w:tblPrEx>
          <w:tblCellMar>
            <w:top w:w="0" w:type="dxa"/>
            <w:left w:w="108" w:type="dxa"/>
            <w:bottom w:w="0" w:type="dxa"/>
            <w:right w:w="108" w:type="dxa"/>
          </w:tblCellMar>
        </w:tblPrEx>
        <w:trPr>
          <w:trHeight w:val="3350" w:hRule="atLeast"/>
        </w:trPr>
        <w:tc>
          <w:tcPr>
            <w:tcW w:w="61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公司资质</w:t>
            </w:r>
          </w:p>
          <w:p>
            <w:pPr>
              <w:spacing w:line="360" w:lineRule="exact"/>
              <w:jc w:val="center"/>
              <w:rPr>
                <w:rFonts w:ascii="宋体" w:hAnsi="宋体" w:eastAsia="宋体" w:cs="宋体"/>
                <w:sz w:val="24"/>
                <w:szCs w:val="24"/>
              </w:rPr>
            </w:pPr>
            <w:r>
              <w:rPr>
                <w:rFonts w:hint="eastAsia" w:ascii="宋体" w:hAnsi="宋体" w:eastAsia="宋体" w:cs="宋体"/>
                <w:sz w:val="24"/>
                <w:szCs w:val="24"/>
              </w:rPr>
              <w:t>（12分）</w:t>
            </w: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12</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1.具有中国网络安全审查技术与认证中心（CCRC）颁发的信息安全风险评估服务资质的得3分，没有不得分。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2.具有中国网络安全审查技术与认证中心（CCRC）颁发的信息系统安全运维服务资质的得3分，没有不得分。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3.具有ISO27001网络安全管理体系认证证书的得3分（认证范围必须含：等级保护测评），没有不得分。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4.具有ISO9001质量管理体系认证证书的得3分（认证范围必须含：等级保护测评），没有不得分。</w:t>
            </w:r>
          </w:p>
          <w:p>
            <w:pPr>
              <w:spacing w:line="360" w:lineRule="exact"/>
              <w:jc w:val="left"/>
              <w:rPr>
                <w:rFonts w:eastAsia="宋体"/>
                <w:sz w:val="28"/>
              </w:rPr>
            </w:pPr>
            <w:r>
              <w:rPr>
                <w:rFonts w:hint="eastAsia" w:ascii="宋体" w:hAnsi="宋体" w:eastAsia="宋体" w:cs="宋体"/>
                <w:color w:val="000000"/>
                <w:sz w:val="24"/>
                <w:szCs w:val="24"/>
              </w:rPr>
              <w:t>注：提供相关证明材料复印件并加盖供应商公章。</w:t>
            </w:r>
          </w:p>
        </w:tc>
      </w:tr>
      <w:tr>
        <w:tblPrEx>
          <w:tblCellMar>
            <w:top w:w="0" w:type="dxa"/>
            <w:left w:w="108" w:type="dxa"/>
            <w:bottom w:w="0" w:type="dxa"/>
            <w:right w:w="108" w:type="dxa"/>
          </w:tblCellMar>
        </w:tblPrEx>
        <w:trPr>
          <w:trHeight w:val="1320" w:hRule="atLeast"/>
        </w:trPr>
        <w:tc>
          <w:tcPr>
            <w:tcW w:w="611" w:type="pct"/>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技术实力</w:t>
            </w:r>
          </w:p>
          <w:p>
            <w:pPr>
              <w:spacing w:line="360" w:lineRule="exact"/>
              <w:jc w:val="center"/>
              <w:rPr>
                <w:rFonts w:ascii="宋体" w:hAnsi="宋体" w:eastAsia="宋体" w:cs="宋体"/>
                <w:sz w:val="24"/>
                <w:szCs w:val="24"/>
              </w:rPr>
            </w:pPr>
            <w:r>
              <w:rPr>
                <w:rFonts w:hint="eastAsia" w:ascii="宋体" w:hAnsi="宋体" w:eastAsia="宋体" w:cs="宋体"/>
                <w:sz w:val="24"/>
                <w:szCs w:val="24"/>
              </w:rPr>
              <w:t>（10分）</w:t>
            </w: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供应商三年以上（含三年）在CNAS测评能力验证结果均为“满意”的得5分。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注：提供中国合格评定国家认可委员会出具的能力验证计划结果证书复印件并加盖供应商公章。</w:t>
            </w:r>
          </w:p>
        </w:tc>
      </w:tr>
      <w:tr>
        <w:tblPrEx>
          <w:tblCellMar>
            <w:top w:w="0" w:type="dxa"/>
            <w:left w:w="108" w:type="dxa"/>
            <w:bottom w:w="0" w:type="dxa"/>
            <w:right w:w="108" w:type="dxa"/>
          </w:tblCellMar>
        </w:tblPrEx>
        <w:trPr>
          <w:trHeight w:val="1260" w:hRule="atLeast"/>
        </w:trPr>
        <w:tc>
          <w:tcPr>
            <w:tcW w:w="611" w:type="pct"/>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szCs w:val="24"/>
              </w:rPr>
            </w:pP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供应商与信息安全等级保护关键技术国家工程实验室有合作的得5分；或供应商与信息安全等级保护关键技术国家工程实验室分实验室有合作的得3分；没有不得分。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注：提供正式的合作协议复印件并加盖供应商公章。</w:t>
            </w:r>
          </w:p>
        </w:tc>
      </w:tr>
      <w:tr>
        <w:tblPrEx>
          <w:tblCellMar>
            <w:top w:w="0" w:type="dxa"/>
            <w:left w:w="108" w:type="dxa"/>
            <w:bottom w:w="0" w:type="dxa"/>
            <w:right w:w="108" w:type="dxa"/>
          </w:tblCellMar>
        </w:tblPrEx>
        <w:trPr>
          <w:trHeight w:val="506" w:hRule="atLeast"/>
        </w:trPr>
        <w:tc>
          <w:tcPr>
            <w:tcW w:w="61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项目组</w:t>
            </w:r>
          </w:p>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成员</w:t>
            </w:r>
          </w:p>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（20分）</w:t>
            </w: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20</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1.本项目拟派团队的项目经理为高级测评师的得3分，项目经理有CISSP认证的得3分，最高得6分；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2.除项目经理外，本项目拟派团队中持有高级测评师，每人次得3分，最高得6分；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3.除项目经理外，本项目拟派团队中持有中华人民共和国人力资源和社会保障部、工业和信息化部批准颁发的“信息安全工程师”证书，有一个得4分，最高4分；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4.除项目经理外，本项目拟派团队中持有信息安全保障人员认证证书（CISAW），每人次得1分，最高得2分；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5.除项目经理外，本项目拟派团队中持有重要信息系统安全等级保护培训证书（CIIP-T），每人次得1分，最高得2分。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 xml:space="preserve">注： </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①提供拟派人员名单以及以上相关证明材料复印件并加盖供应商公章；</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②拟派人员为本单位正式员工，提供供应商为其缴纳的</w:t>
            </w:r>
            <w:r>
              <w:rPr>
                <w:rFonts w:hint="eastAsia" w:ascii="宋体" w:hAnsi="宋体" w:eastAsia="宋体" w:cs="宋体"/>
                <w:color w:val="000000"/>
                <w:sz w:val="24"/>
                <w:szCs w:val="24"/>
                <w:lang w:val="zh-CN"/>
              </w:rPr>
              <w:t>202</w:t>
            </w:r>
            <w:r>
              <w:rPr>
                <w:rFonts w:hint="eastAsia" w:ascii="宋体" w:hAnsi="宋体" w:eastAsia="宋体" w:cs="宋体"/>
                <w:color w:val="000000"/>
                <w:sz w:val="24"/>
                <w:szCs w:val="24"/>
              </w:rPr>
              <w:t>1</w:t>
            </w:r>
            <w:r>
              <w:rPr>
                <w:rFonts w:hint="eastAsia" w:ascii="宋体" w:hAnsi="宋体" w:eastAsia="宋体" w:cs="宋体"/>
                <w:color w:val="000000"/>
                <w:sz w:val="24"/>
                <w:szCs w:val="24"/>
                <w:lang w:val="zh-CN"/>
              </w:rPr>
              <w:t>年</w:t>
            </w:r>
            <w:r>
              <w:rPr>
                <w:rFonts w:hint="eastAsia" w:ascii="宋体" w:hAnsi="宋体" w:eastAsia="宋体" w:cs="宋体"/>
                <w:color w:val="000000"/>
                <w:sz w:val="24"/>
                <w:szCs w:val="24"/>
              </w:rPr>
              <w:t>2</w:t>
            </w:r>
            <w:r>
              <w:rPr>
                <w:rFonts w:hint="eastAsia" w:ascii="宋体" w:hAnsi="宋体" w:eastAsia="宋体" w:cs="宋体"/>
                <w:color w:val="000000"/>
                <w:sz w:val="24"/>
                <w:szCs w:val="24"/>
                <w:lang w:val="zh-CN"/>
              </w:rPr>
              <w:t>月-2021年</w:t>
            </w:r>
            <w:r>
              <w:rPr>
                <w:rFonts w:hint="eastAsia" w:ascii="宋体" w:hAnsi="宋体" w:eastAsia="宋体" w:cs="宋体"/>
                <w:color w:val="000000"/>
                <w:sz w:val="24"/>
                <w:szCs w:val="24"/>
              </w:rPr>
              <w:t>7</w:t>
            </w:r>
            <w:r>
              <w:rPr>
                <w:rFonts w:hint="eastAsia" w:ascii="宋体" w:hAnsi="宋体" w:eastAsia="宋体" w:cs="宋体"/>
                <w:color w:val="000000"/>
                <w:sz w:val="24"/>
                <w:szCs w:val="24"/>
                <w:lang w:val="zh-CN"/>
              </w:rPr>
              <w:t>月连续六个月的社保缴费证明复印件</w:t>
            </w:r>
            <w:r>
              <w:rPr>
                <w:rFonts w:hint="eastAsia" w:ascii="宋体" w:hAnsi="宋体" w:eastAsia="宋体" w:cs="宋体"/>
                <w:color w:val="000000"/>
                <w:sz w:val="24"/>
                <w:szCs w:val="24"/>
              </w:rPr>
              <w:t>并加盖单位公章。</w:t>
            </w:r>
          </w:p>
        </w:tc>
      </w:tr>
      <w:tr>
        <w:tblPrEx>
          <w:tblCellMar>
            <w:top w:w="0" w:type="dxa"/>
            <w:left w:w="108" w:type="dxa"/>
            <w:bottom w:w="0" w:type="dxa"/>
            <w:right w:w="108" w:type="dxa"/>
          </w:tblCellMar>
        </w:tblPrEx>
        <w:trPr>
          <w:trHeight w:val="1250" w:hRule="atLeast"/>
        </w:trPr>
        <w:tc>
          <w:tcPr>
            <w:tcW w:w="61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业绩</w:t>
            </w:r>
          </w:p>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（8分）</w:t>
            </w: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提供2020年1月1日以来（以合同签订日期为准）类似测评业绩：每个业绩得1分，最高得8分。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注：提供合同复印件并加盖供应商公章。</w:t>
            </w:r>
          </w:p>
        </w:tc>
      </w:tr>
      <w:tr>
        <w:tblPrEx>
          <w:tblCellMar>
            <w:top w:w="0" w:type="dxa"/>
            <w:left w:w="108" w:type="dxa"/>
            <w:bottom w:w="0" w:type="dxa"/>
            <w:right w:w="108" w:type="dxa"/>
          </w:tblCellMar>
        </w:tblPrEx>
        <w:trPr>
          <w:trHeight w:val="1230" w:hRule="atLeast"/>
        </w:trPr>
        <w:tc>
          <w:tcPr>
            <w:tcW w:w="611" w:type="pct"/>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服务能力</w:t>
            </w:r>
          </w:p>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（20分）</w:t>
            </w: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12</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提供本项目网络安全等级保护测评方案，评审小组进行横向比较，分档打分：一档9-12分；二档5-8分；三挡1-4分；方案质量低劣或不提供不得分。</w:t>
            </w:r>
          </w:p>
        </w:tc>
      </w:tr>
      <w:tr>
        <w:tblPrEx>
          <w:tblCellMar>
            <w:top w:w="0" w:type="dxa"/>
            <w:left w:w="108" w:type="dxa"/>
            <w:bottom w:w="0" w:type="dxa"/>
            <w:right w:w="108" w:type="dxa"/>
          </w:tblCellMar>
        </w:tblPrEx>
        <w:trPr>
          <w:trHeight w:val="2380" w:hRule="atLeast"/>
        </w:trPr>
        <w:tc>
          <w:tcPr>
            <w:tcW w:w="611" w:type="pct"/>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p>
        </w:tc>
        <w:tc>
          <w:tcPr>
            <w:tcW w:w="4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3963"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安全事件应急响应能力：我单位承载业务系统非常重要，不容有失，一旦发生网络安全事件，必须得到及时处理，供应商必须提供网络安全事件应急响应服务，承诺2小时内到场响应且响应时间最快的得8分，其次得4分，到场响应时间超过3小时不得分。</w:t>
            </w:r>
          </w:p>
          <w:p>
            <w:pPr>
              <w:spacing w:line="360" w:lineRule="exact"/>
              <w:jc w:val="left"/>
              <w:rPr>
                <w:rFonts w:ascii="宋体" w:hAnsi="宋体" w:eastAsia="宋体" w:cs="宋体"/>
                <w:color w:val="000000"/>
                <w:sz w:val="24"/>
                <w:szCs w:val="24"/>
              </w:rPr>
            </w:pPr>
            <w:r>
              <w:rPr>
                <w:rFonts w:hint="eastAsia" w:ascii="宋体" w:hAnsi="宋体" w:eastAsia="宋体" w:cs="宋体"/>
                <w:color w:val="000000"/>
                <w:sz w:val="24"/>
                <w:szCs w:val="24"/>
              </w:rPr>
              <w:t>注：提供应急响应承诺函（格式自拟），安全事件应急响应服务时间以供应商注册地址至被测评单位主流导航地图截图为准。</w:t>
            </w:r>
          </w:p>
        </w:tc>
      </w:tr>
    </w:tbl>
    <w:p>
      <w:pPr>
        <w:snapToGrid w:val="0"/>
        <w:spacing w:line="300" w:lineRule="auto"/>
        <w:ind w:firstLine="555"/>
        <w:rPr>
          <w:rFonts w:asciiTheme="majorEastAsia" w:hAnsiTheme="majorEastAsia" w:eastAsiaTheme="majorEastAsia" w:cstheme="minorEastAsia"/>
          <w:b/>
          <w:sz w:val="24"/>
        </w:rPr>
      </w:pPr>
      <w:r>
        <w:rPr>
          <w:rFonts w:hint="eastAsia" w:asciiTheme="majorEastAsia" w:hAnsiTheme="majorEastAsia" w:eastAsiaTheme="majorEastAsia" w:cstheme="minorEastAsia"/>
          <w:b/>
          <w:kern w:val="0"/>
          <w:sz w:val="24"/>
        </w:rPr>
        <w:t>注：</w:t>
      </w:r>
      <w:r>
        <w:rPr>
          <w:rFonts w:hint="eastAsia" w:asciiTheme="majorEastAsia" w:hAnsiTheme="majorEastAsia" w:eastAsiaTheme="majorEastAsia" w:cstheme="minorEastAsia"/>
          <w:b/>
          <w:sz w:val="24"/>
        </w:rPr>
        <w:t>评标办法中涉及人员证书、业绩合同等证明材料，如为复印件均须加盖供应商公章，否则该项不得分。</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（二）价格标评分：（30分）</w:t>
      </w:r>
    </w:p>
    <w:p>
      <w:pPr>
        <w:snapToGrid w:val="0"/>
        <w:spacing w:line="360" w:lineRule="auto"/>
        <w:ind w:firstLine="484" w:firstLineChars="202"/>
        <w:outlineLvl w:val="1"/>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1、本次投标报价采用固定总价报价，本项目最高限价为18万元。</w:t>
      </w:r>
    </w:p>
    <w:p>
      <w:pPr>
        <w:snapToGrid w:val="0"/>
        <w:spacing w:line="360" w:lineRule="auto"/>
        <w:ind w:firstLine="484" w:firstLineChars="202"/>
        <w:outlineLvl w:val="1"/>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2、有效报价：指投标报价低于或等于最高限价的报价，高于最高限价的作废标处理。</w:t>
      </w:r>
    </w:p>
    <w:p>
      <w:pPr>
        <w:snapToGrid w:val="0"/>
        <w:spacing w:line="360" w:lineRule="auto"/>
        <w:ind w:firstLine="484" w:firstLineChars="202"/>
        <w:outlineLvl w:val="1"/>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3、报价得分：价格分统一采用低价优先法计算，即满足磋商文件要求且最终报价最低的供应商的价格为磋商基准价，其价格分为满分。其他供应商的价格分统一按照下列公式计算：</w:t>
      </w:r>
    </w:p>
    <w:p>
      <w:pPr>
        <w:snapToGrid w:val="0"/>
        <w:spacing w:line="360" w:lineRule="auto"/>
        <w:ind w:firstLine="720" w:firstLineChars="300"/>
        <w:outlineLvl w:val="1"/>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磋商报价得分=（磋商基准价/最终磋商报价）×30%×100</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（三）政府采购政策功能落实</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1、小微型企业价格扣除</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（1）本项目对小型和微型企业产品给予10%的扣除价格，用扣除后的价格参与评审。</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（2）供应商需按照采购文件的要求提供相应的《小型、微型企业声明函》。</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（3）企业标准请参照《关于印发中小企业划型标准规定的通知》（工信部联企业[2011]300号）文件规定自行填写。</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2、残疾人福利单位价格扣除</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（1）本项目对残疾人福利性单位视同小型、微型企业，给予10%的价格扣除，用扣除后的价格参与评审。</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（2）残疾人福利单位需按照采购文件的要求提供《残疾人福利性单位声明函》。</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（3）残疾人福利单位标准请参照《关于促进残疾人就业政府采购政策的通知》（财库〔2017〕141号）。</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3、监狱和戒毒企业价格扣除</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（1）本项目对监狱和戒毒企业（简称监狱企业）视同小型、微型企业，给予10%的价格扣除，用扣除后的价格参与评审。</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（3）监狱企业标准请参照《关于政府采购支持监狱企业发展有关问题的通知》（财库[2014]68号）。</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4、残疾人福利单位、监狱企业属于小型、微型企业的，不重复享受政策。</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6、联合体各方均为小型、微型企业（残疾人福利单位、监狱企业）的，联合体享受10%价格扣除，用扣除后的价格参与评审。</w:t>
      </w: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7、根据《江苏省政府采购信用管理暂行办法》的规定，对有失信行为的供应商将根据信用评价结果按规定予以扣分或价格加成。</w:t>
      </w:r>
    </w:p>
    <w:p>
      <w:pPr>
        <w:snapToGrid w:val="0"/>
        <w:spacing w:line="300" w:lineRule="auto"/>
        <w:ind w:firstLine="482" w:firstLineChars="200"/>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特别提醒】供应商应依照规定提交各类声明函、承诺函，不再同时提供原件备查。但中标或成交供应商，应做好提交声明函、承诺函相应原件的核查准备；核查后发现虚假或违背承诺的，依照相关法律法规规定处理。</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六、出现下列情形之一的，作无效磋商处理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1、未按时交纳磋商保证金或金额不足的；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2、磋商响应文件未按规定要求装订、密封、签署、盖章及资料不齐全的；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3、磋商响应文件的资料有虚报或者谎报的；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4、磋商响应文件技术部分出现磋商报价的内容；</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5、不具备磋商文件规定的资格要求的；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6、磋商响应文件有重大漏项或重大不合理的；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7、项目技术、方案不满足项目需求中的要求，有重大偏离或保留的；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8、磋商响应报价超出项目最高限价的；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9、被认定为低于成本报价而磋商竞标的；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10、供应商的磋商报价高于自己前一轮的。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11、不符合法律、法规和磋商文件中规定的实质性响应要求的；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12、磋商小组认定为其他情况可确定为无效投标的。</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七、出现下列情形之一的，作废标处理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1、供应商的报价均超出了采购预算，采购人不能支付的；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2、因情况变化，不再符合规定的竞争性磋商采购方式所适用情形的；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3、出现影响采购公正的违法、违规行为的；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4、因重大变故，采购任务取消的。</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八、成交通知</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1、竞争性磋商结束后，招标采购人将成交结果在指定媒体上公示1个工作日。</w:t>
      </w:r>
    </w:p>
    <w:p>
      <w:pPr>
        <w:snapToGrid w:val="0"/>
        <w:spacing w:line="360" w:lineRule="auto"/>
        <w:ind w:firstLine="484" w:firstLineChars="202"/>
        <w:rPr>
          <w:rFonts w:asciiTheme="majorEastAsia" w:hAnsiTheme="majorEastAsia" w:eastAsiaTheme="majorEastAsia"/>
        </w:rPr>
      </w:pPr>
      <w:r>
        <w:rPr>
          <w:rFonts w:hint="eastAsia" w:asciiTheme="majorEastAsia" w:hAnsiTheme="majorEastAsia" w:eastAsiaTheme="majorEastAsia" w:cstheme="minorEastAsia"/>
          <w:sz w:val="24"/>
          <w:szCs w:val="24"/>
        </w:rPr>
        <w:t>2、《成交通知书》一经发出，即具有法律效力。采购人、成交供应商依法承担法律责任。</w:t>
      </w:r>
      <w:bookmarkEnd w:id="4"/>
      <w:bookmarkStart w:id="6" w:name="_Toc363573857"/>
    </w:p>
    <w:p>
      <w:pPr>
        <w:rPr>
          <w:rFonts w:asciiTheme="majorEastAsia" w:hAnsiTheme="majorEastAsia" w:eastAsiaTheme="majorEastAsia" w:cstheme="minorEastAsia"/>
          <w:b/>
          <w:w w:val="80"/>
          <w:sz w:val="32"/>
          <w:szCs w:val="32"/>
        </w:rPr>
      </w:pPr>
      <w:r>
        <w:rPr>
          <w:rFonts w:hint="eastAsia" w:asciiTheme="majorEastAsia" w:hAnsiTheme="majorEastAsia" w:eastAsiaTheme="majorEastAsia" w:cstheme="minorEastAsia"/>
          <w:b/>
          <w:w w:val="80"/>
          <w:sz w:val="32"/>
          <w:szCs w:val="32"/>
        </w:rPr>
        <w:br w:type="page"/>
      </w:r>
    </w:p>
    <w:p>
      <w:pPr>
        <w:tabs>
          <w:tab w:val="left" w:pos="1050"/>
          <w:tab w:val="right" w:leader="dot" w:pos="9402"/>
        </w:tabs>
        <w:snapToGrid w:val="0"/>
        <w:spacing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第五章 合同授予</w:t>
      </w:r>
      <w:bookmarkEnd w:id="6"/>
      <w:r>
        <w:rPr>
          <w:rFonts w:hint="eastAsia" w:asciiTheme="majorEastAsia" w:hAnsiTheme="majorEastAsia" w:eastAsiaTheme="majorEastAsia" w:cstheme="minorEastAsia"/>
          <w:b/>
          <w:w w:val="80"/>
          <w:sz w:val="36"/>
          <w:szCs w:val="36"/>
        </w:rPr>
        <w:t>与履约</w:t>
      </w:r>
    </w:p>
    <w:p>
      <w:pPr>
        <w:spacing w:line="360" w:lineRule="auto"/>
        <w:ind w:firstLine="480" w:firstLineChars="200"/>
        <w:rPr>
          <w:rFonts w:hAnsi="宋体" w:eastAsia="宋体"/>
          <w:sz w:val="24"/>
          <w:szCs w:val="24"/>
        </w:rPr>
      </w:pPr>
      <w:bookmarkStart w:id="7" w:name="_Toc363573858"/>
      <w:bookmarkStart w:id="8" w:name="_Toc94585343"/>
      <w:r>
        <w:rPr>
          <w:rFonts w:hint="eastAsia" w:hAnsi="宋体" w:eastAsia="宋体"/>
          <w:sz w:val="24"/>
          <w:szCs w:val="24"/>
        </w:rPr>
        <w:t>一、成交供应商在接到《成交通知书》后3</w:t>
      </w:r>
      <w:r>
        <w:rPr>
          <w:rFonts w:hAnsi="宋体" w:eastAsia="宋体"/>
          <w:sz w:val="24"/>
          <w:szCs w:val="24"/>
        </w:rPr>
        <w:t>0</w:t>
      </w:r>
      <w:r>
        <w:rPr>
          <w:rFonts w:hint="eastAsia" w:hAnsi="宋体" w:eastAsia="宋体"/>
          <w:sz w:val="24"/>
          <w:szCs w:val="24"/>
        </w:rPr>
        <w:t>日内与采购人签订合同。合同签订后成交供应商方可履约，否则引起的一切后果由成交人自行承担。合同一式四份（采购人、供应商各两份）。所签合同不得对采购文件作实质性修改。采购人不得向成交供应商提出不合理的要求作为签订合同的条件，不得与成交供应商私下订立背离采购文件实质性内容的协议。</w:t>
      </w:r>
    </w:p>
    <w:p>
      <w:pPr>
        <w:spacing w:line="360" w:lineRule="auto"/>
        <w:ind w:firstLine="480" w:firstLineChars="200"/>
        <w:rPr>
          <w:rFonts w:hAnsi="宋体" w:eastAsia="宋体"/>
          <w:sz w:val="24"/>
          <w:szCs w:val="24"/>
        </w:rPr>
      </w:pPr>
      <w:r>
        <w:rPr>
          <w:rFonts w:hint="eastAsia" w:hAnsi="宋体" w:eastAsia="宋体"/>
          <w:sz w:val="24"/>
          <w:szCs w:val="24"/>
        </w:rPr>
        <w:t>二、</w:t>
      </w:r>
      <w:bookmarkStart w:id="9" w:name="OLE_LINK1"/>
      <w:bookmarkStart w:id="10" w:name="OLE_LINK2"/>
      <w:r>
        <w:rPr>
          <w:rFonts w:hint="eastAsia" w:hAnsi="宋体" w:eastAsia="宋体"/>
          <w:sz w:val="24"/>
          <w:szCs w:val="24"/>
        </w:rPr>
        <w:t>采购人与供应商串通或要求供应商通过减少货物数量或降低服务标准的，在履行合同中采取更改配置、调换物品等手段的，要求供应商出具虚假发票或任意更改销售发票的，谋取不正当利益的，承担相应的法律责任。</w:t>
      </w:r>
    </w:p>
    <w:p>
      <w:pPr>
        <w:spacing w:line="360" w:lineRule="auto"/>
        <w:ind w:firstLine="480" w:firstLineChars="200"/>
        <w:rPr>
          <w:rFonts w:hAnsi="宋体" w:eastAsia="宋体"/>
          <w:sz w:val="24"/>
          <w:szCs w:val="24"/>
        </w:rPr>
      </w:pPr>
      <w:r>
        <w:rPr>
          <w:rFonts w:hint="eastAsia" w:hAnsi="宋体" w:eastAsia="宋体"/>
          <w:sz w:val="24"/>
          <w:szCs w:val="24"/>
        </w:rPr>
        <w:t>三、成交供应商出现违约情形，应当及时纠正或补偿；造成损失的，按合同约定追究违约责任；发现有假冒、伪劣、走私产品、商业贿赂等违法情形的，应由采购人移交工商、质监、公安等行政执法部门依法查处。</w:t>
      </w:r>
    </w:p>
    <w:p>
      <w:pPr>
        <w:spacing w:line="360" w:lineRule="auto"/>
        <w:ind w:firstLine="480" w:firstLineChars="200"/>
        <w:rPr>
          <w:rFonts w:hAnsi="宋体" w:eastAsia="宋体"/>
          <w:sz w:val="24"/>
          <w:szCs w:val="24"/>
        </w:rPr>
      </w:pPr>
      <w:r>
        <w:rPr>
          <w:rFonts w:hint="eastAsia" w:hAnsi="宋体" w:eastAsia="宋体"/>
          <w:sz w:val="24"/>
          <w:szCs w:val="24"/>
        </w:rPr>
        <w:t>四、不响应付款方式的，视同无效投标处理。款项由采购人按相关财务支付规定办理支付手续，不得故意拖延支付时间</w:t>
      </w:r>
      <w:bookmarkEnd w:id="9"/>
      <w:bookmarkEnd w:id="10"/>
      <w:r>
        <w:rPr>
          <w:rFonts w:hint="eastAsia" w:hAnsi="宋体" w:eastAsia="宋体"/>
          <w:sz w:val="24"/>
          <w:szCs w:val="24"/>
        </w:rPr>
        <w:t>。</w:t>
      </w:r>
    </w:p>
    <w:p>
      <w:pPr>
        <w:spacing w:line="360" w:lineRule="auto"/>
        <w:ind w:firstLine="480" w:firstLineChars="200"/>
        <w:rPr>
          <w:rFonts w:hAnsi="宋体" w:eastAsia="宋体"/>
          <w:sz w:val="24"/>
          <w:szCs w:val="24"/>
        </w:rPr>
      </w:pPr>
      <w:r>
        <w:rPr>
          <w:rFonts w:hint="eastAsia" w:hAnsi="宋体" w:eastAsia="宋体"/>
          <w:sz w:val="24"/>
          <w:szCs w:val="24"/>
        </w:rPr>
        <w:t>五、</w:t>
      </w:r>
      <w:r>
        <w:rPr>
          <w:rFonts w:hAnsi="宋体" w:eastAsia="宋体"/>
          <w:sz w:val="24"/>
          <w:szCs w:val="24"/>
        </w:rPr>
        <w:t>每次采购</w:t>
      </w:r>
      <w:r>
        <w:rPr>
          <w:rFonts w:hint="eastAsia" w:hAnsi="宋体" w:eastAsia="宋体"/>
          <w:sz w:val="24"/>
          <w:szCs w:val="24"/>
        </w:rPr>
        <w:t>人</w:t>
      </w:r>
      <w:r>
        <w:rPr>
          <w:rFonts w:hAnsi="宋体" w:eastAsia="宋体"/>
          <w:sz w:val="24"/>
          <w:szCs w:val="24"/>
        </w:rPr>
        <w:t>付款前，</w:t>
      </w:r>
      <w:r>
        <w:rPr>
          <w:rFonts w:hint="eastAsia" w:hAnsi="宋体" w:eastAsia="宋体"/>
          <w:kern w:val="0"/>
          <w:sz w:val="24"/>
          <w:szCs w:val="24"/>
          <w:lang w:val="zh-CN"/>
        </w:rPr>
        <w:t>成交供应商</w:t>
      </w:r>
      <w:r>
        <w:rPr>
          <w:rFonts w:hAnsi="宋体" w:eastAsia="宋体"/>
          <w:sz w:val="24"/>
          <w:szCs w:val="24"/>
        </w:rPr>
        <w:t>根据结算金额按国家有关财税规定开出合法发票交采购</w:t>
      </w:r>
      <w:r>
        <w:rPr>
          <w:rFonts w:hint="eastAsia" w:hAnsi="宋体" w:eastAsia="宋体"/>
          <w:sz w:val="24"/>
          <w:szCs w:val="24"/>
        </w:rPr>
        <w:t>人</w:t>
      </w:r>
      <w:r>
        <w:rPr>
          <w:rFonts w:hAnsi="宋体" w:eastAsia="宋体"/>
          <w:sz w:val="24"/>
          <w:szCs w:val="24"/>
        </w:rPr>
        <w:t>办理付款手续。</w:t>
      </w:r>
    </w:p>
    <w:p>
      <w:pPr>
        <w:widowControl/>
        <w:jc w:val="left"/>
        <w:rPr>
          <w:rFonts w:ascii="宋体" w:hAnsi="宋体" w:eastAsia="宋体" w:cs="宋体"/>
          <w:b/>
          <w:sz w:val="24"/>
          <w:szCs w:val="22"/>
        </w:rPr>
      </w:pPr>
    </w:p>
    <w:p>
      <w:pPr>
        <w:widowControl/>
        <w:jc w:val="left"/>
        <w:rPr>
          <w:rFonts w:asciiTheme="majorEastAsia" w:hAnsiTheme="majorEastAsia" w:eastAsiaTheme="majorEastAsia" w:cstheme="minorEastAsia"/>
          <w:b/>
          <w:w w:val="80"/>
          <w:sz w:val="36"/>
          <w:szCs w:val="36"/>
        </w:rPr>
      </w:pPr>
      <w:r>
        <w:rPr>
          <w:rFonts w:asciiTheme="majorEastAsia" w:hAnsiTheme="majorEastAsia" w:eastAsiaTheme="majorEastAsia" w:cstheme="minorEastAsia"/>
          <w:b/>
          <w:w w:val="80"/>
          <w:sz w:val="36"/>
          <w:szCs w:val="36"/>
        </w:rPr>
        <w:br w:type="page"/>
      </w:r>
    </w:p>
    <w:bookmarkEnd w:id="7"/>
    <w:bookmarkEnd w:id="8"/>
    <w:p>
      <w:pPr>
        <w:tabs>
          <w:tab w:val="left" w:pos="1050"/>
          <w:tab w:val="right" w:leader="dot" w:pos="9402"/>
        </w:tabs>
        <w:snapToGrid w:val="0"/>
        <w:spacing w:beforeLines="100" w:line="360" w:lineRule="auto"/>
        <w:jc w:val="center"/>
        <w:outlineLvl w:val="0"/>
        <w:rPr>
          <w:rFonts w:asciiTheme="majorEastAsia" w:hAnsiTheme="majorEastAsia" w:eastAsiaTheme="majorEastAsia" w:cstheme="minorEastAsia"/>
          <w:b/>
          <w:w w:val="80"/>
          <w:sz w:val="36"/>
          <w:szCs w:val="36"/>
        </w:rPr>
      </w:pPr>
      <w:bookmarkStart w:id="11" w:name="_Toc363573859"/>
      <w:r>
        <w:rPr>
          <w:rFonts w:hint="eastAsia" w:asciiTheme="majorEastAsia" w:hAnsiTheme="majorEastAsia" w:eastAsiaTheme="majorEastAsia" w:cstheme="minorEastAsia"/>
          <w:b/>
          <w:w w:val="80"/>
          <w:sz w:val="36"/>
          <w:szCs w:val="36"/>
        </w:rPr>
        <w:t>第六章 质疑与投诉</w:t>
      </w:r>
      <w:bookmarkEnd w:id="11"/>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一、质疑的提出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1、质疑必须是直接参加本次招投标活动的当事人。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取得磋商文件的供应商应根据磋商文件第二章“供应商须知”中“第一条第4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采购人。采购人、采购人不具有法定调查、认定的权限。</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4、对本次招投标有质疑的，须实名制以书面形式提出，不得进行匿名、虚假、恶意质疑。</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对不能提供相关佐证材料的、涉及商业秘密的、非书面形式的、非送达的、匿名的《质疑函》作无效质疑处理，将不予受理。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采购人不负责搜集相关佐证材料等工作。</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二、《质疑函》的受理和回复</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1、《质疑函》须由质疑人的法定代表人或参加本次招标被委托授权人送达采购人和采购人。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3、对不符合提出质疑要求的《质疑函》，出具《质疑退回通知书》并提出相关补充材料要求，质疑人未在规定时间内提供补充佐证材料的，视同放弃质疑。</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4、采购人负责将质疑人提交的质疑相关材料提供给相关专家或评标小组审核，并将审核意见回复质疑人。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5、因质疑情况复杂，组织论证或审查时间较长的，采购人以书面形式通知质疑人，可适当延长质疑回复处理时间。</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三、质疑处理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1、质疑成立的处理。采购人终止招标行为，并建议有关部门给相关当事人予以处理。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2、质疑不成立的处理：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（1）质疑人书面《申请撤回质疑函》。</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（2）质疑人在规定的时间内不配合进行质疑调查处理的，按自动撤回《质疑函》处理。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（3）质疑人不按《质疑函》格式就提出质疑的，视情列入不良供应商名单。</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4）质疑人不能提供相关佐证材料的，采购人已指出，质疑人仍然坚持提出质疑的，质疑人虽提供了相关佐证材料，但不能证明其质疑成立的，采购人请质疑人补充相关佐证材料，仍不能证明其质疑成立的，列入不良供应商名单。</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5）对明显有违背事实的、经相关专家或评委认定无依据的、经其他供应商举证无依据的质疑，列入不良供应商名单；同时，对其中每一项不成立的质疑给予质疑人1年内禁入崇川区政府采购活动的处理，依次类推；视情在中国崇川网、南通政府采购网、省、国家级相关媒体予以披露。</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（6）质疑人承担使用虚假材料或恶意方式质疑的法律责任。</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四、无佐证材料的举报作违约处理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供应商不得进行不提供相关佐证材料（含无法查实的如宣传册、媒体报道、猜测、推理等）而向有关部门的举报，否则对其在1至3年内禁入崇川区政府采购活动。</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五、投诉的提出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质疑人对采购人的答复不满意或者采购人未在规定的时间内做出答复的，可以在答复期满后15天内内向采购人的上级主管部门投诉。</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六、投诉不成立的作违约处理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供应商进行质疑后，采购人回复质疑不成立，质疑人仍进行投诉的，并最终投诉不成立的，对其在1至3年内禁入崇川区政府采购活动。</w:t>
      </w:r>
    </w:p>
    <w:p>
      <w:pPr>
        <w:tabs>
          <w:tab w:val="left" w:pos="1050"/>
          <w:tab w:val="right" w:leader="dot" w:pos="9402"/>
        </w:tabs>
        <w:spacing w:beforeLines="100" w:line="400" w:lineRule="exact"/>
        <w:outlineLvl w:val="0"/>
        <w:rPr>
          <w:rFonts w:asciiTheme="majorEastAsia" w:hAnsiTheme="majorEastAsia" w:eastAsiaTheme="majorEastAsia" w:cstheme="minorEastAsia"/>
          <w:b/>
          <w:w w:val="80"/>
          <w:sz w:val="32"/>
          <w:szCs w:val="32"/>
        </w:rPr>
      </w:pPr>
      <w:bookmarkStart w:id="12" w:name="_Toc363573860"/>
    </w:p>
    <w:p>
      <w:pPr>
        <w:pStyle w:val="57"/>
        <w:ind w:left="520" w:firstLine="560"/>
        <w:rPr>
          <w:rFonts w:asciiTheme="majorEastAsia" w:hAnsiTheme="majorEastAsia" w:eastAsiaTheme="majorEastAsia"/>
        </w:rPr>
      </w:pPr>
    </w:p>
    <w:p>
      <w:pPr>
        <w:tabs>
          <w:tab w:val="left" w:pos="1050"/>
          <w:tab w:val="right" w:leader="dot" w:pos="9402"/>
        </w:tabs>
        <w:snapToGrid w:val="0"/>
        <w:spacing w:beforeLines="100" w:line="360" w:lineRule="auto"/>
        <w:jc w:val="center"/>
        <w:outlineLvl w:val="0"/>
        <w:rPr>
          <w:rFonts w:asciiTheme="majorEastAsia" w:hAnsiTheme="majorEastAsia" w:eastAsiaTheme="majorEastAsia" w:cstheme="minorEastAsia"/>
          <w:b/>
          <w:w w:val="80"/>
          <w:sz w:val="32"/>
          <w:szCs w:val="32"/>
        </w:rPr>
      </w:pPr>
      <w:r>
        <w:rPr>
          <w:rFonts w:hint="eastAsia" w:asciiTheme="majorEastAsia" w:hAnsiTheme="majorEastAsia" w:eastAsiaTheme="majorEastAsia" w:cstheme="minorEastAsia"/>
          <w:b/>
          <w:w w:val="80"/>
          <w:sz w:val="36"/>
          <w:szCs w:val="36"/>
        </w:rPr>
        <w:t>第七章</w:t>
      </w:r>
      <w:bookmarkEnd w:id="12"/>
      <w:r>
        <w:rPr>
          <w:rFonts w:hint="eastAsia" w:asciiTheme="majorEastAsia" w:hAnsiTheme="majorEastAsia" w:eastAsiaTheme="majorEastAsia" w:cstheme="minorEastAsia"/>
          <w:b/>
          <w:w w:val="80"/>
          <w:sz w:val="36"/>
          <w:szCs w:val="36"/>
        </w:rPr>
        <w:t xml:space="preserve"> 磋商响应相关格式及文件</w:t>
      </w:r>
    </w:p>
    <w:p>
      <w:pPr>
        <w:adjustRightInd w:val="0"/>
        <w:snapToGrid w:val="0"/>
        <w:spacing w:line="480" w:lineRule="exact"/>
        <w:ind w:firstLine="484" w:firstLineChars="202"/>
        <w:jc w:val="left"/>
        <w:rPr>
          <w:rFonts w:ascii="宋体" w:hAnsi="宋体" w:eastAsia="宋体" w:cs="宋体"/>
          <w:b/>
          <w:bCs/>
          <w:sz w:val="24"/>
          <w:szCs w:val="24"/>
        </w:rPr>
      </w:pPr>
      <w:r>
        <w:rPr>
          <w:rFonts w:hint="eastAsia" w:ascii="宋体" w:hAnsi="宋体" w:eastAsia="宋体" w:cs="宋体"/>
          <w:sz w:val="24"/>
          <w:szCs w:val="24"/>
        </w:rPr>
        <w:t>响应文件由资格审查文件、技术响应文件、报价响应文件三部分组成。本次竞争性磋商采用资格后审方式，供应商须将资格审查文件作为响应文件组成部分，按磋商文件要求装订密封后一起递交。</w:t>
      </w:r>
      <w:r>
        <w:rPr>
          <w:rFonts w:hint="eastAsia" w:ascii="宋体" w:hAnsi="宋体" w:eastAsia="宋体" w:cs="宋体"/>
          <w:b/>
          <w:bCs/>
          <w:sz w:val="24"/>
          <w:szCs w:val="24"/>
        </w:rPr>
        <w:t xml:space="preserve"> </w:t>
      </w:r>
    </w:p>
    <w:p>
      <w:pPr>
        <w:adjustRightInd w:val="0"/>
        <w:snapToGrid w:val="0"/>
        <w:spacing w:line="360" w:lineRule="auto"/>
        <w:jc w:val="left"/>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一、磋商响应文件</w:t>
      </w:r>
    </w:p>
    <w:p>
      <w:pPr>
        <w:snapToGrid w:val="0"/>
        <w:spacing w:line="360" w:lineRule="auto"/>
        <w:ind w:firstLine="487" w:firstLineChars="202"/>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A、资格审查文件：</w:t>
      </w:r>
      <w:r>
        <w:rPr>
          <w:rFonts w:hint="eastAsia" w:asciiTheme="majorEastAsia" w:hAnsiTheme="majorEastAsia" w:eastAsiaTheme="majorEastAsia" w:cstheme="minorEastAsia"/>
          <w:sz w:val="24"/>
          <w:szCs w:val="24"/>
        </w:rPr>
        <w:t>（</w:t>
      </w:r>
      <w:r>
        <w:rPr>
          <w:rFonts w:hint="eastAsia" w:asciiTheme="majorEastAsia" w:hAnsiTheme="majorEastAsia" w:eastAsiaTheme="majorEastAsia" w:cstheme="minorEastAsia"/>
          <w:b/>
          <w:sz w:val="24"/>
          <w:szCs w:val="24"/>
        </w:rPr>
        <w:t>一个密封包，内含：1份“正本”和2份“副本”）</w:t>
      </w:r>
    </w:p>
    <w:p>
      <w:pPr>
        <w:snapToGrid w:val="0"/>
        <w:spacing w:line="360" w:lineRule="auto"/>
        <w:ind w:firstLine="491" w:firstLineChars="20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人有权取消其成交资格，并由该供应商承担一切责任和损失。</w:t>
      </w:r>
    </w:p>
    <w:p>
      <w:pPr>
        <w:snapToGrid w:val="0"/>
        <w:spacing w:line="360" w:lineRule="auto"/>
        <w:ind w:firstLine="480" w:firstLineChars="200"/>
        <w:rPr>
          <w:rFonts w:asciiTheme="majorEastAsia" w:hAnsiTheme="majorEastAsia" w:eastAsiaTheme="majorEastAsia" w:cstheme="minorEastAsia"/>
          <w:sz w:val="24"/>
          <w:szCs w:val="24"/>
        </w:rPr>
      </w:pPr>
      <w:r>
        <w:rPr>
          <w:rFonts w:asciiTheme="majorEastAsia" w:hAnsiTheme="majorEastAsia" w:eastAsiaTheme="majorEastAsia" w:cstheme="minorEastAsia"/>
          <w:sz w:val="24"/>
          <w:szCs w:val="24"/>
        </w:rPr>
        <w:t>1</w:t>
      </w:r>
      <w:r>
        <w:rPr>
          <w:rFonts w:hint="eastAsia" w:asciiTheme="majorEastAsia" w:hAnsiTheme="majorEastAsia" w:eastAsiaTheme="majorEastAsia" w:cstheme="minorEastAsia"/>
          <w:sz w:val="24"/>
          <w:szCs w:val="24"/>
        </w:rPr>
        <w:t xml:space="preserve">、提供企业法人或者其他组织的营业执照等证明文件。 </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2、提供上一年度的财务状况报告（成立不满一年不需提供）。</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3、依法缴纳税收和社会保障资金的相关证明材料。</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4、提供有效期内的《网络安全等级保护测评机构推荐证书》。</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w:t>
      </w:r>
      <w:r>
        <w:rPr>
          <w:rFonts w:hint="eastAsia" w:asciiTheme="majorEastAsia" w:hAnsiTheme="majorEastAsia" w:eastAsiaTheme="majorEastAsia" w:cstheme="minorEastAsia"/>
          <w:sz w:val="24"/>
          <w:szCs w:val="24"/>
          <w:lang w:val="zh-CN"/>
        </w:rPr>
        <w:t>法定代表人参加投标的，必须提供法定代表人身份证明及法定代表人本人身份证复印件</w:t>
      </w:r>
      <w:r>
        <w:rPr>
          <w:rFonts w:hint="eastAsia" w:asciiTheme="majorEastAsia" w:hAnsiTheme="majorEastAsia" w:eastAsiaTheme="majorEastAsia" w:cstheme="minorEastAsia"/>
          <w:sz w:val="24"/>
          <w:szCs w:val="24"/>
        </w:rPr>
        <w:t>（格式参见附件）</w:t>
      </w:r>
      <w:r>
        <w:rPr>
          <w:rFonts w:hint="eastAsia" w:asciiTheme="majorEastAsia" w:hAnsiTheme="majorEastAsia" w:eastAsiaTheme="majorEastAsia" w:cstheme="minorEastAsia"/>
          <w:sz w:val="24"/>
          <w:szCs w:val="24"/>
          <w:lang w:val="zh-CN"/>
        </w:rPr>
        <w:t>；非法定代表人参加投标的，必须提供法定代表人签字或盖章的授权委托书及法定代表人、授权委托人的两人身份证的复印件</w:t>
      </w:r>
      <w:r>
        <w:rPr>
          <w:rFonts w:hint="eastAsia" w:asciiTheme="majorEastAsia" w:hAnsiTheme="majorEastAsia" w:eastAsiaTheme="majorEastAsia" w:cstheme="minorEastAsia"/>
          <w:sz w:val="24"/>
          <w:szCs w:val="24"/>
        </w:rPr>
        <w:t>（格式参见附件）</w:t>
      </w:r>
      <w:r>
        <w:rPr>
          <w:rFonts w:hint="eastAsia" w:asciiTheme="majorEastAsia" w:hAnsiTheme="majorEastAsia" w:eastAsiaTheme="majorEastAsia" w:cstheme="minorEastAsia"/>
          <w:sz w:val="24"/>
          <w:szCs w:val="24"/>
          <w:lang w:val="zh-CN"/>
        </w:rPr>
        <w:t>，授权委托人为供应商正式人员证明材料【提供①与供应商签订的有效劳动合同复印件；②供应商为其缴纳的202</w:t>
      </w:r>
      <w:r>
        <w:rPr>
          <w:rFonts w:hint="eastAsia" w:asciiTheme="majorEastAsia" w:hAnsiTheme="majorEastAsia" w:eastAsiaTheme="majorEastAsia" w:cstheme="minorEastAsia"/>
          <w:sz w:val="24"/>
          <w:szCs w:val="24"/>
        </w:rPr>
        <w:t>1</w:t>
      </w:r>
      <w:r>
        <w:rPr>
          <w:rFonts w:hint="eastAsia" w:asciiTheme="majorEastAsia" w:hAnsiTheme="majorEastAsia" w:eastAsiaTheme="majorEastAsia" w:cstheme="minorEastAsia"/>
          <w:sz w:val="24"/>
          <w:szCs w:val="24"/>
          <w:lang w:val="zh-CN"/>
        </w:rPr>
        <w:t>年</w:t>
      </w:r>
      <w:r>
        <w:rPr>
          <w:rFonts w:hint="eastAsia" w:asciiTheme="majorEastAsia" w:hAnsiTheme="majorEastAsia" w:eastAsiaTheme="majorEastAsia" w:cstheme="minorEastAsia"/>
          <w:sz w:val="24"/>
          <w:szCs w:val="24"/>
        </w:rPr>
        <w:t>2</w:t>
      </w:r>
      <w:r>
        <w:rPr>
          <w:rFonts w:hint="eastAsia" w:asciiTheme="majorEastAsia" w:hAnsiTheme="majorEastAsia" w:eastAsiaTheme="majorEastAsia" w:cstheme="minorEastAsia"/>
          <w:sz w:val="24"/>
          <w:szCs w:val="24"/>
          <w:lang w:val="zh-CN"/>
        </w:rPr>
        <w:t>月-2021年</w:t>
      </w:r>
      <w:r>
        <w:rPr>
          <w:rFonts w:hint="eastAsia" w:asciiTheme="majorEastAsia" w:hAnsiTheme="majorEastAsia" w:eastAsiaTheme="majorEastAsia" w:cstheme="minorEastAsia"/>
          <w:sz w:val="24"/>
          <w:szCs w:val="24"/>
        </w:rPr>
        <w:t>7</w:t>
      </w:r>
      <w:r>
        <w:rPr>
          <w:rFonts w:hint="eastAsia" w:asciiTheme="majorEastAsia" w:hAnsiTheme="majorEastAsia" w:eastAsiaTheme="majorEastAsia" w:cstheme="minorEastAsia"/>
          <w:sz w:val="24"/>
          <w:szCs w:val="24"/>
          <w:lang w:val="zh-CN"/>
        </w:rPr>
        <w:t>月连续六个月的社保缴费证明复印件。】。</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6、《无重大违法记录声明函》。（格式参见附件）</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7、关于资格文件的声明函。（格式参见附件）</w:t>
      </w:r>
    </w:p>
    <w:p>
      <w:pPr>
        <w:snapToGrid w:val="0"/>
        <w:spacing w:line="360" w:lineRule="auto"/>
        <w:ind w:firstLine="482"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b/>
          <w:sz w:val="24"/>
        </w:rPr>
        <w:t>注：以上如为复印件均须加盖供应商公章。</w:t>
      </w:r>
    </w:p>
    <w:p>
      <w:pPr>
        <w:pStyle w:val="57"/>
        <w:ind w:left="0" w:leftChars="0" w:firstLine="0" w:firstLineChars="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 xml:space="preserve">    </w:t>
      </w:r>
      <w:r>
        <w:rPr>
          <w:rFonts w:hint="eastAsia" w:asciiTheme="majorEastAsia" w:hAnsiTheme="majorEastAsia" w:eastAsiaTheme="majorEastAsia" w:cstheme="minorEastAsia"/>
          <w:b/>
          <w:sz w:val="24"/>
          <w:szCs w:val="24"/>
        </w:rPr>
        <w:t>B、技术标磋商响应文件：（一个密封包，内含：1份“正本”和2份“副本”。）</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特别提醒】供应商应根据本磋商文件第三章“项目需求”所列的服务要求标准等，仔细阅读并在理解的基础上结合第四章“技术标评分标准”内的评审细则，编制技术响应文件，不得有缺项或漏项，否则可能直接影响技术标评审的得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1、供应商情况一览表（格式参见附件）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asciiTheme="majorEastAsia" w:hAnsiTheme="majorEastAsia" w:eastAsiaTheme="majorEastAsia" w:cstheme="minorEastAsia"/>
          <w:sz w:val="24"/>
          <w:szCs w:val="24"/>
        </w:rPr>
        <w:t>2</w:t>
      </w:r>
      <w:r>
        <w:rPr>
          <w:rFonts w:hint="eastAsia" w:asciiTheme="majorEastAsia" w:hAnsiTheme="majorEastAsia" w:eastAsiaTheme="majorEastAsia" w:cstheme="minorEastAsia"/>
          <w:sz w:val="24"/>
          <w:szCs w:val="24"/>
        </w:rPr>
        <w:t>、技术响应正负偏离表（格式参见附件）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填制正负偏离表，完全响应的，请以空白表列示。不完全响应的，必须在偏离表中列示；列示不全的，视同故意隐瞒。</w:t>
      </w:r>
    </w:p>
    <w:p>
      <w:pPr>
        <w:snapToGrid w:val="0"/>
        <w:spacing w:line="360" w:lineRule="auto"/>
        <w:ind w:firstLine="484" w:firstLineChars="202"/>
        <w:rPr>
          <w:rFonts w:asciiTheme="majorEastAsia" w:hAnsiTheme="majorEastAsia" w:eastAsiaTheme="majorEastAsia" w:cstheme="minorEastAsia"/>
          <w:sz w:val="24"/>
          <w:szCs w:val="24"/>
        </w:rPr>
      </w:pPr>
      <w:r>
        <w:rPr>
          <w:rFonts w:asciiTheme="majorEastAsia" w:hAnsiTheme="majorEastAsia" w:eastAsiaTheme="majorEastAsia" w:cstheme="minorEastAsia"/>
          <w:sz w:val="24"/>
          <w:szCs w:val="24"/>
        </w:rPr>
        <w:t>3</w:t>
      </w:r>
      <w:r>
        <w:rPr>
          <w:rFonts w:hint="eastAsia" w:asciiTheme="majorEastAsia" w:hAnsiTheme="majorEastAsia" w:eastAsiaTheme="majorEastAsia" w:cstheme="minorEastAsia"/>
          <w:sz w:val="24"/>
          <w:szCs w:val="24"/>
        </w:rPr>
        <w:t>、技术标评标办法中要求提供的全部材料。</w:t>
      </w:r>
    </w:p>
    <w:p>
      <w:pPr>
        <w:snapToGrid w:val="0"/>
        <w:spacing w:line="360" w:lineRule="auto"/>
        <w:ind w:firstLine="484" w:firstLineChars="202"/>
        <w:rPr>
          <w:rFonts w:asciiTheme="majorEastAsia" w:hAnsiTheme="majorEastAsia" w:eastAsiaTheme="majorEastAsia" w:cstheme="minorEastAsia"/>
          <w:sz w:val="24"/>
          <w:szCs w:val="24"/>
        </w:rPr>
      </w:pPr>
      <w:r>
        <w:rPr>
          <w:rFonts w:asciiTheme="majorEastAsia" w:hAnsiTheme="majorEastAsia" w:eastAsiaTheme="majorEastAsia" w:cstheme="minorEastAsia"/>
          <w:sz w:val="24"/>
          <w:szCs w:val="24"/>
        </w:rPr>
        <w:t>4</w:t>
      </w:r>
      <w:r>
        <w:rPr>
          <w:rFonts w:hint="eastAsia" w:asciiTheme="majorEastAsia" w:hAnsiTheme="majorEastAsia" w:eastAsiaTheme="majorEastAsia" w:cstheme="minorEastAsia"/>
          <w:sz w:val="24"/>
          <w:szCs w:val="24"/>
        </w:rPr>
        <w:t>、供应商认为需要提交的其他材料。</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注：为方便评委评审，请供应商按评分标准中所涉及的事项顺序进行编制，可以补充相关材料。</w:t>
      </w:r>
    </w:p>
    <w:p>
      <w:pPr>
        <w:snapToGrid w:val="0"/>
        <w:spacing w:line="360" w:lineRule="auto"/>
        <w:ind w:firstLine="487" w:firstLineChars="202"/>
        <w:outlineLvl w:val="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b/>
          <w:sz w:val="24"/>
          <w:szCs w:val="24"/>
        </w:rPr>
        <w:t>C、报价响应文件：（一个密封包，内含：1份“正本”和2份“副本”。）</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特别提醒】报价响应文件中的报价，包括本竞争性磋商文件规定涵盖的所有采购范围及相应说明的全部内容涉及到的费用。本次磋商采购项目的付款方式要求，必须全部响应不得有任何负偏离，且不接受任何意在更改的说明，否则作无效磋商处理。供应商成交后如据此提出疑义，不履行签订合同等下一步工作，采购人有权没收其全额磋商保证金并取消其成交资格。</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1、竞争性磋商响应函（格式参见附件）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2、磋商响应报价总表（格式参见附件）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3、磋商响应报价明细表（格式参见附件）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4、小型、微型企业声明函（若有）（格式参见附件）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5、残疾人福利性单位声明函（若有）（格式参见附件）</w:t>
      </w:r>
    </w:p>
    <w:p>
      <w:pPr>
        <w:spacing w:line="360" w:lineRule="exact"/>
        <w:jc w:val="center"/>
        <w:rPr>
          <w:rFonts w:asciiTheme="majorEastAsia" w:hAnsiTheme="majorEastAsia" w:eastAsiaTheme="majorEastAsia" w:cstheme="minorEastAsia"/>
          <w:w w:val="80"/>
          <w:kern w:val="44"/>
          <w:sz w:val="21"/>
          <w:szCs w:val="21"/>
        </w:rPr>
      </w:pPr>
    </w:p>
    <w:p>
      <w:pPr>
        <w:adjustRightInd w:val="0"/>
        <w:snapToGrid w:val="0"/>
        <w:spacing w:line="360" w:lineRule="exact"/>
        <w:outlineLvl w:val="1"/>
        <w:rPr>
          <w:rFonts w:asciiTheme="majorEastAsia" w:hAnsiTheme="majorEastAsia" w:eastAsiaTheme="majorEastAsia" w:cstheme="minorEastAsia"/>
          <w:b/>
          <w:sz w:val="21"/>
          <w:szCs w:val="21"/>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p>
    <w:p>
      <w:pPr>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br w:type="page"/>
      </w:r>
    </w:p>
    <w:p>
      <w:pPr>
        <w:adjustRightInd w:val="0"/>
        <w:snapToGrid w:val="0"/>
        <w:spacing w:line="360" w:lineRule="auto"/>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二、附件</w:t>
      </w:r>
    </w:p>
    <w:p>
      <w:pPr>
        <w:pStyle w:val="57"/>
        <w:ind w:left="520" w:firstLine="560"/>
        <w:rPr>
          <w:rFonts w:asciiTheme="majorEastAsia" w:hAnsiTheme="majorEastAsia" w:eastAsiaTheme="majorEastAsia"/>
        </w:rPr>
      </w:pPr>
    </w:p>
    <w:p>
      <w:pPr>
        <w:snapToGrid w:val="0"/>
        <w:spacing w:afterLines="100" w:line="520" w:lineRule="exact"/>
        <w:jc w:val="center"/>
        <w:rPr>
          <w:rFonts w:ascii="宋体" w:hAnsi="宋体" w:eastAsia="宋体"/>
          <w:b/>
          <w:sz w:val="28"/>
          <w:szCs w:val="28"/>
        </w:rPr>
      </w:pPr>
      <w:r>
        <w:rPr>
          <w:rFonts w:hint="eastAsia" w:ascii="宋体" w:hAnsi="宋体" w:eastAsia="宋体"/>
          <w:b/>
          <w:sz w:val="28"/>
          <w:szCs w:val="28"/>
        </w:rPr>
        <w:t>法定代表人身份证明</w:t>
      </w:r>
    </w:p>
    <w:p>
      <w:pPr>
        <w:snapToGrid w:val="0"/>
        <w:spacing w:line="520" w:lineRule="exact"/>
        <w:jc w:val="center"/>
        <w:rPr>
          <w:rFonts w:ascii="宋体" w:hAnsi="宋体" w:eastAsia="宋体" w:cs="宋体"/>
          <w:sz w:val="24"/>
          <w:szCs w:val="24"/>
        </w:rPr>
      </w:pPr>
      <w:r>
        <w:rPr>
          <w:rFonts w:hint="eastAsia" w:ascii="宋体" w:hAnsi="宋体" w:eastAsia="宋体" w:cs="宋体"/>
          <w:sz w:val="24"/>
          <w:szCs w:val="24"/>
        </w:rPr>
        <w:t>（如法定代表人参加磋商，须出示此证明）</w:t>
      </w:r>
    </w:p>
    <w:p>
      <w:pPr>
        <w:snapToGrid w:val="0"/>
        <w:spacing w:line="520" w:lineRule="exact"/>
        <w:jc w:val="center"/>
        <w:rPr>
          <w:rFonts w:ascii="宋体" w:hAnsi="宋体" w:eastAsia="宋体" w:cs="宋体"/>
          <w:sz w:val="24"/>
          <w:szCs w:val="24"/>
        </w:rPr>
      </w:pPr>
    </w:p>
    <w:p>
      <w:pPr>
        <w:snapToGrid w:val="0"/>
        <w:spacing w:line="520" w:lineRule="exact"/>
        <w:jc w:val="left"/>
        <w:rPr>
          <w:rFonts w:ascii="宋体" w:hAnsi="宋体" w:eastAsia="宋体" w:cs="宋体"/>
          <w:b/>
          <w:bCs/>
          <w:sz w:val="24"/>
          <w:szCs w:val="24"/>
          <w:u w:val="single"/>
        </w:rPr>
      </w:pPr>
      <w:r>
        <w:rPr>
          <w:rFonts w:hint="eastAsia" w:ascii="宋体" w:hAnsi="宋体" w:eastAsia="宋体" w:cs="宋体"/>
          <w:b/>
          <w:bCs/>
          <w:sz w:val="24"/>
          <w:szCs w:val="24"/>
          <w:u w:val="single"/>
        </w:rPr>
        <w:t>南通市妇幼保健院:</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我公司法定代表人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参加贵单位组织的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（项目名称)项目的磋商活动，全权代表我公司处理竞争性磋商的有关事宜。</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附：法定代表人情况：</w:t>
      </w:r>
    </w:p>
    <w:p>
      <w:pPr>
        <w:snapToGrid w:val="0"/>
        <w:spacing w:line="520" w:lineRule="exact"/>
        <w:rPr>
          <w:rFonts w:ascii="宋体" w:hAnsi="宋体" w:eastAsia="宋体" w:cs="宋体"/>
          <w:sz w:val="24"/>
          <w:szCs w:val="24"/>
          <w:u w:val="single"/>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手机：</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 </w:t>
      </w:r>
    </w:p>
    <w:p>
      <w:pPr>
        <w:snapToGrid w:val="0"/>
        <w:spacing w:line="520" w:lineRule="exact"/>
        <w:rPr>
          <w:rFonts w:ascii="宋体" w:hAnsi="宋体" w:eastAsia="宋体" w:cs="宋体"/>
          <w:sz w:val="24"/>
          <w:szCs w:val="24"/>
        </w:rPr>
      </w:pPr>
    </w:p>
    <w:p>
      <w:pPr>
        <w:snapToGrid w:val="0"/>
        <w:spacing w:line="520" w:lineRule="exact"/>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napToGrid w:val="0"/>
        <w:spacing w:line="520" w:lineRule="exact"/>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napToGrid w:val="0"/>
        <w:spacing w:line="520" w:lineRule="exact"/>
        <w:rPr>
          <w:rFonts w:ascii="宋体" w:hAnsi="宋体" w:eastAsia="宋体" w:cs="宋体"/>
          <w:sz w:val="24"/>
          <w:szCs w:val="24"/>
        </w:rPr>
      </w:pPr>
    </w:p>
    <w:p>
      <w:pPr>
        <w:snapToGrid w:val="0"/>
        <w:spacing w:line="520" w:lineRule="exact"/>
        <w:rPr>
          <w:rFonts w:ascii="宋体" w:hAnsi="宋体" w:eastAsia="宋体" w:cs="宋体"/>
          <w:sz w:val="24"/>
          <w:szCs w:val="24"/>
        </w:rPr>
      </w:pPr>
      <w:r>
        <w:rPr>
          <w:rFonts w:hint="eastAsia" w:ascii="宋体" w:hAnsi="宋体" w:eastAsia="宋体" w:cs="宋体"/>
          <w:sz w:val="24"/>
          <w:szCs w:val="24"/>
        </w:rPr>
        <w:t>法定代表人身份证复印件</w:t>
      </w:r>
    </w:p>
    <w:p>
      <w:pPr>
        <w:snapToGrid w:val="0"/>
        <w:spacing w:line="520" w:lineRule="exact"/>
        <w:rPr>
          <w:rFonts w:ascii="宋体" w:hAnsi="宋体" w:eastAsia="宋体" w:cs="宋体"/>
          <w:sz w:val="24"/>
          <w:szCs w:val="24"/>
        </w:rPr>
      </w:pPr>
    </w:p>
    <w:p>
      <w:pPr>
        <w:snapToGrid w:val="0"/>
        <w:spacing w:line="520" w:lineRule="exact"/>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napToGrid w:val="0"/>
        <w:spacing w:line="5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注:参加磋商时法定代表人须将身份证原件带至磋商现场备查。</w:t>
      </w:r>
    </w:p>
    <w:p>
      <w:pPr>
        <w:snapToGrid w:val="0"/>
        <w:spacing w:line="520" w:lineRule="exact"/>
        <w:jc w:val="center"/>
        <w:outlineLvl w:val="3"/>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b/>
          <w:sz w:val="28"/>
          <w:szCs w:val="28"/>
        </w:rPr>
        <w:t>授权委托书</w:t>
      </w:r>
    </w:p>
    <w:p>
      <w:pPr>
        <w:snapToGrid w:val="0"/>
        <w:spacing w:line="520" w:lineRule="exact"/>
        <w:jc w:val="center"/>
        <w:rPr>
          <w:rFonts w:ascii="宋体" w:hAnsi="宋体" w:eastAsia="宋体" w:cs="宋体"/>
          <w:bCs/>
          <w:sz w:val="24"/>
          <w:szCs w:val="24"/>
        </w:rPr>
      </w:pPr>
      <w:r>
        <w:rPr>
          <w:rFonts w:hint="eastAsia" w:ascii="宋体" w:hAnsi="宋体" w:eastAsia="宋体" w:cs="宋体"/>
          <w:bCs/>
          <w:sz w:val="24"/>
          <w:szCs w:val="24"/>
        </w:rPr>
        <w:t>（如被授权人参加磋商，须出示此证明）</w:t>
      </w:r>
    </w:p>
    <w:p>
      <w:pPr>
        <w:snapToGrid w:val="0"/>
        <w:spacing w:line="520" w:lineRule="exact"/>
        <w:jc w:val="center"/>
        <w:rPr>
          <w:rFonts w:ascii="宋体" w:hAnsi="宋体" w:eastAsia="宋体" w:cs="宋体"/>
          <w:bCs/>
          <w:sz w:val="24"/>
          <w:szCs w:val="24"/>
        </w:rPr>
      </w:pPr>
    </w:p>
    <w:p>
      <w:pPr>
        <w:snapToGrid w:val="0"/>
        <w:spacing w:line="520" w:lineRule="exact"/>
        <w:jc w:val="left"/>
        <w:rPr>
          <w:rFonts w:ascii="宋体" w:hAnsi="宋体" w:eastAsia="宋体" w:cs="宋体"/>
          <w:sz w:val="24"/>
          <w:szCs w:val="24"/>
          <w:u w:val="single"/>
        </w:rPr>
      </w:pPr>
      <w:r>
        <w:rPr>
          <w:rFonts w:hint="eastAsia" w:ascii="宋体" w:hAnsi="宋体" w:eastAsia="宋体" w:cs="宋体"/>
          <w:b/>
          <w:sz w:val="24"/>
          <w:szCs w:val="24"/>
          <w:u w:val="single"/>
        </w:rPr>
        <w:t>南通市妇幼保健院</w:t>
      </w:r>
      <w:r>
        <w:rPr>
          <w:rFonts w:hint="eastAsia" w:ascii="宋体" w:hAnsi="宋体" w:eastAsia="宋体" w:cs="宋体"/>
          <w:sz w:val="24"/>
          <w:szCs w:val="24"/>
          <w:u w:val="single"/>
        </w:rPr>
        <w:t>:</w:t>
      </w:r>
    </w:p>
    <w:p>
      <w:pPr>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兹授权</w:t>
      </w:r>
      <w:r>
        <w:rPr>
          <w:rFonts w:hint="eastAsia" w:ascii="宋体" w:hAnsi="宋体" w:eastAsia="宋体" w:cs="宋体"/>
          <w:sz w:val="24"/>
          <w:szCs w:val="24"/>
          <w:u w:val="single"/>
        </w:rPr>
        <w:t xml:space="preserve">               （</w:t>
      </w:r>
      <w:r>
        <w:rPr>
          <w:rFonts w:hint="eastAsia" w:ascii="宋体" w:hAnsi="宋体" w:eastAsia="宋体" w:cs="宋体"/>
          <w:sz w:val="24"/>
          <w:szCs w:val="24"/>
        </w:rPr>
        <w:t>被授权人的姓名）代表我公司参加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（项目名称）项目的政府采购活动，全权处理一切与该项目招标有关的事务。其在办理上述事宜过程中所签署的所有文件我公司均予以承认。  </w:t>
      </w:r>
    </w:p>
    <w:p>
      <w:pPr>
        <w:adjustRightInd w:val="0"/>
        <w:snapToGrid w:val="0"/>
        <w:spacing w:line="500" w:lineRule="exact"/>
        <w:ind w:firstLine="480" w:firstLineChars="200"/>
        <w:jc w:val="left"/>
        <w:rPr>
          <w:rFonts w:ascii="宋体" w:hAnsi="宋体" w:eastAsia="宋体" w:cs="宋体"/>
          <w:kern w:val="0"/>
          <w:sz w:val="24"/>
          <w:szCs w:val="24"/>
        </w:rPr>
      </w:pPr>
    </w:p>
    <w:p>
      <w:pPr>
        <w:adjustRightInd w:val="0"/>
        <w:snapToGrid w:val="0"/>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被授权人无转委托权，特此委托。</w:t>
      </w:r>
    </w:p>
    <w:p>
      <w:pPr>
        <w:adjustRightInd w:val="0"/>
        <w:snapToGrid w:val="0"/>
        <w:spacing w:line="500" w:lineRule="exact"/>
        <w:ind w:firstLine="480" w:firstLineChars="200"/>
        <w:jc w:val="left"/>
        <w:rPr>
          <w:rFonts w:ascii="宋体" w:hAnsi="宋体" w:eastAsia="宋体" w:cs="宋体"/>
          <w:kern w:val="0"/>
          <w:sz w:val="24"/>
          <w:szCs w:val="24"/>
        </w:rPr>
      </w:pPr>
    </w:p>
    <w:p>
      <w:pPr>
        <w:spacing w:line="480" w:lineRule="exact"/>
        <w:rPr>
          <w:rFonts w:ascii="宋体" w:hAnsi="宋体" w:eastAsia="宋体" w:cs="宋体"/>
          <w:sz w:val="24"/>
          <w:szCs w:val="24"/>
        </w:rPr>
      </w:pPr>
      <w:r>
        <w:rPr>
          <w:rFonts w:hint="eastAsia" w:ascii="宋体" w:hAnsi="宋体" w:eastAsia="宋体" w:cs="宋体"/>
          <w:sz w:val="24"/>
          <w:szCs w:val="24"/>
        </w:rPr>
        <w:t>附：被授权人情况：</w:t>
      </w:r>
    </w:p>
    <w:p>
      <w:pPr>
        <w:spacing w:line="480" w:lineRule="exact"/>
        <w:rPr>
          <w:rFonts w:ascii="宋体" w:hAnsi="宋体" w:eastAsia="宋体" w:cs="宋体"/>
          <w:sz w:val="24"/>
          <w:szCs w:val="24"/>
          <w:u w:val="single"/>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spacing w:line="480" w:lineRule="exact"/>
        <w:rPr>
          <w:rFonts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pacing w:line="480" w:lineRule="exact"/>
        <w:rPr>
          <w:rFonts w:ascii="宋体" w:hAnsi="宋体" w:eastAsia="宋体" w:cs="宋体"/>
          <w:sz w:val="24"/>
          <w:szCs w:val="24"/>
        </w:rPr>
      </w:pPr>
      <w:r>
        <w:rPr>
          <w:rFonts w:hint="eastAsia" w:ascii="宋体" w:hAnsi="宋体" w:eastAsia="宋体" w:cs="宋体"/>
          <w:sz w:val="24"/>
          <w:szCs w:val="24"/>
        </w:rPr>
        <w:t>手机：</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80" w:lineRule="exact"/>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480" w:lineRule="exact"/>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pacing w:line="480" w:lineRule="exact"/>
        <w:rPr>
          <w:rFonts w:ascii="宋体" w:hAnsi="宋体" w:eastAsia="宋体" w:cs="宋体"/>
          <w:sz w:val="24"/>
          <w:szCs w:val="24"/>
        </w:rPr>
      </w:pPr>
    </w:p>
    <w:p>
      <w:pPr>
        <w:spacing w:line="480" w:lineRule="exact"/>
        <w:rPr>
          <w:rFonts w:ascii="宋体" w:hAnsi="宋体" w:eastAsia="宋体" w:cs="宋体"/>
          <w:sz w:val="24"/>
          <w:szCs w:val="24"/>
        </w:rPr>
      </w:pPr>
      <w:r>
        <w:rPr>
          <w:rFonts w:hint="eastAsia" w:ascii="宋体" w:hAnsi="宋体" w:eastAsia="宋体" w:cs="宋体"/>
          <w:sz w:val="24"/>
          <w:szCs w:val="24"/>
        </w:rPr>
        <w:t>法定代表人身份证复印件</w:t>
      </w:r>
    </w:p>
    <w:p>
      <w:pPr>
        <w:spacing w:line="480" w:lineRule="exact"/>
        <w:rPr>
          <w:rFonts w:ascii="宋体" w:hAnsi="宋体" w:eastAsia="宋体" w:cs="宋体"/>
          <w:sz w:val="24"/>
          <w:szCs w:val="24"/>
        </w:rPr>
      </w:pPr>
    </w:p>
    <w:p>
      <w:pPr>
        <w:spacing w:line="480" w:lineRule="exact"/>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pacing w:line="480" w:lineRule="exact"/>
        <w:rPr>
          <w:rFonts w:ascii="宋体" w:hAnsi="宋体" w:eastAsia="宋体" w:cs="宋体"/>
          <w:sz w:val="24"/>
          <w:szCs w:val="24"/>
        </w:rPr>
      </w:pPr>
    </w:p>
    <w:p>
      <w:pPr>
        <w:spacing w:line="480" w:lineRule="exact"/>
        <w:rPr>
          <w:rFonts w:ascii="宋体" w:hAnsi="宋体" w:eastAsia="宋体" w:cs="宋体"/>
          <w:sz w:val="24"/>
          <w:szCs w:val="24"/>
        </w:rPr>
      </w:pPr>
    </w:p>
    <w:p>
      <w:pPr>
        <w:spacing w:line="480" w:lineRule="exact"/>
        <w:rPr>
          <w:rFonts w:ascii="宋体" w:hAnsi="宋体" w:eastAsia="宋体" w:cs="宋体"/>
          <w:sz w:val="24"/>
          <w:szCs w:val="24"/>
        </w:rPr>
      </w:pPr>
      <w:r>
        <w:rPr>
          <w:rFonts w:hint="eastAsia" w:ascii="宋体" w:hAnsi="宋体" w:eastAsia="宋体" w:cs="宋体"/>
          <w:sz w:val="24"/>
          <w:szCs w:val="24"/>
        </w:rPr>
        <w:t>被授权人身份证复印件</w:t>
      </w:r>
    </w:p>
    <w:p>
      <w:pPr>
        <w:spacing w:line="480" w:lineRule="exact"/>
        <w:rPr>
          <w:rFonts w:ascii="宋体" w:hAnsi="宋体" w:eastAsia="宋体" w:cs="宋体"/>
          <w:sz w:val="24"/>
          <w:szCs w:val="24"/>
        </w:rPr>
      </w:pPr>
    </w:p>
    <w:p>
      <w:pPr>
        <w:spacing w:line="480" w:lineRule="exact"/>
        <w:ind w:firstLine="2280" w:firstLineChars="950"/>
        <w:rPr>
          <w:rFonts w:ascii="宋体" w:hAnsi="宋体" w:eastAsia="宋体" w:cs="宋体"/>
          <w:b/>
          <w:bCs/>
          <w:sz w:val="24"/>
          <w:szCs w:val="24"/>
        </w:rPr>
      </w:pPr>
      <w:r>
        <w:rPr>
          <w:rFonts w:hint="eastAsia" w:ascii="宋体" w:hAnsi="宋体" w:eastAsia="宋体" w:cs="宋体"/>
          <w:sz w:val="24"/>
          <w:szCs w:val="24"/>
        </w:rPr>
        <w:t>（粘贴此处）</w:t>
      </w:r>
    </w:p>
    <w:p>
      <w:pPr>
        <w:spacing w:line="4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注:参加磋商时被授权人须将身份证原件带至磋商现场备查。</w:t>
      </w:r>
    </w:p>
    <w:p>
      <w:pPr>
        <w:pStyle w:val="18"/>
        <w:rPr>
          <w:rFonts w:ascii="宋体" w:hAnsi="宋体" w:eastAsia="宋体" w:cs="宋体"/>
          <w:szCs w:val="24"/>
        </w:rPr>
      </w:pPr>
    </w:p>
    <w:p>
      <w:pPr>
        <w:rPr>
          <w:rFonts w:ascii="宋体" w:hAnsi="宋体" w:eastAsia="宋体" w:cs="宋体"/>
          <w:sz w:val="24"/>
          <w:szCs w:val="24"/>
        </w:rPr>
      </w:pPr>
    </w:p>
    <w:p>
      <w:pPr>
        <w:rPr>
          <w:rFonts w:ascii="宋体" w:hAnsi="宋体" w:eastAsia="宋体" w:cs="宋体"/>
          <w:sz w:val="24"/>
          <w:szCs w:val="24"/>
        </w:rPr>
      </w:pPr>
    </w:p>
    <w:p>
      <w:pPr>
        <w:snapToGrid w:val="0"/>
        <w:spacing w:line="520" w:lineRule="exact"/>
        <w:jc w:val="left"/>
        <w:rPr>
          <w:rFonts w:ascii="宋体" w:hAnsi="宋体" w:eastAsia="宋体" w:cs="宋体"/>
          <w:sz w:val="24"/>
          <w:szCs w:val="24"/>
        </w:rPr>
      </w:pPr>
    </w:p>
    <w:p>
      <w:pPr>
        <w:snapToGrid w:val="0"/>
        <w:spacing w:afterLines="100" w:line="520" w:lineRule="exact"/>
        <w:jc w:val="center"/>
        <w:rPr>
          <w:rFonts w:ascii="宋体" w:hAnsi="宋体" w:eastAsia="宋体"/>
          <w:b/>
          <w:sz w:val="28"/>
          <w:szCs w:val="28"/>
        </w:rPr>
      </w:pPr>
      <w:r>
        <w:rPr>
          <w:rFonts w:hint="eastAsia" w:ascii="宋体" w:hAnsi="宋体" w:eastAsia="宋体"/>
          <w:b/>
          <w:sz w:val="28"/>
          <w:szCs w:val="28"/>
        </w:rPr>
        <w:t>无重大违法记录声明</w:t>
      </w:r>
    </w:p>
    <w:p>
      <w:pPr>
        <w:spacing w:line="360" w:lineRule="auto"/>
        <w:jc w:val="left"/>
        <w:rPr>
          <w:rFonts w:ascii="宋体" w:hAnsi="宋体" w:eastAsia="宋体" w:cs="宋体"/>
          <w:b/>
          <w:bCs/>
          <w:sz w:val="24"/>
          <w:szCs w:val="24"/>
        </w:rPr>
      </w:pPr>
      <w:r>
        <w:rPr>
          <w:rFonts w:hint="eastAsia" w:ascii="宋体" w:hAnsi="宋体" w:eastAsia="宋体" w:cs="宋体"/>
          <w:b/>
          <w:sz w:val="24"/>
          <w:szCs w:val="24"/>
          <w:u w:val="single"/>
        </w:rPr>
        <w:t>南通市妇幼保健院</w:t>
      </w:r>
      <w:r>
        <w:rPr>
          <w:rFonts w:hint="eastAsia" w:ascii="宋体" w:hAnsi="宋体" w:eastAsia="宋体" w:cs="宋体"/>
          <w:sz w:val="24"/>
          <w:szCs w:val="24"/>
          <w:u w:val="single"/>
        </w:rPr>
        <w:t>:</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我单位</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（供应商名称）郑重声明：</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参加本项目采购活动前3年内在经营活动中</w:t>
      </w:r>
      <w:r>
        <w:rPr>
          <w:rFonts w:hint="eastAsia" w:ascii="宋体" w:hAnsi="宋体" w:eastAsia="宋体" w:cs="宋体"/>
          <w:sz w:val="24"/>
          <w:szCs w:val="24"/>
          <w:u w:val="single"/>
        </w:rPr>
        <w:t xml:space="preserve">        </w:t>
      </w:r>
      <w:r>
        <w:rPr>
          <w:rFonts w:hint="eastAsia" w:ascii="宋体" w:hAnsi="宋体" w:eastAsia="宋体" w:cs="宋体"/>
          <w:sz w:val="24"/>
          <w:szCs w:val="24"/>
        </w:rPr>
        <w:t>（在下划线上如实填写：有或没有）重大违法记录。</w:t>
      </w:r>
    </w:p>
    <w:p>
      <w:pPr>
        <w:spacing w:line="360" w:lineRule="auto"/>
        <w:ind w:firstLine="240" w:firstLineChars="100"/>
        <w:jc w:val="left"/>
        <w:rPr>
          <w:rFonts w:ascii="宋体" w:hAnsi="宋体" w:eastAsia="宋体" w:cs="宋体"/>
          <w:sz w:val="24"/>
          <w:szCs w:val="24"/>
        </w:rPr>
      </w:pPr>
      <w:r>
        <w:rPr>
          <w:rFonts w:hint="eastAsia" w:ascii="宋体" w:hAnsi="宋体" w:eastAsia="宋体" w:cs="宋体"/>
          <w:sz w:val="24"/>
          <w:szCs w:val="24"/>
        </w:rPr>
        <w:t xml:space="preserve"> （说明：政府采购法第二十二条第一款第五项所称重大违法记录，是指供应商因违法经营受到刑事处罚或者责令停产停业、吊销许可证或者执照、较大数额罚款等行政处罚。）</w:t>
      </w:r>
    </w:p>
    <w:p>
      <w:pPr>
        <w:spacing w:line="360" w:lineRule="auto"/>
        <w:ind w:firstLine="2289" w:firstLineChars="950"/>
        <w:jc w:val="right"/>
        <w:rPr>
          <w:rFonts w:ascii="宋体" w:hAnsi="宋体" w:eastAsia="宋体" w:cs="宋体"/>
          <w:b/>
          <w:sz w:val="24"/>
          <w:szCs w:val="24"/>
        </w:rPr>
      </w:pPr>
      <w:r>
        <w:rPr>
          <w:rFonts w:hint="eastAsia" w:ascii="宋体" w:hAnsi="宋体" w:eastAsia="宋体" w:cs="宋体"/>
          <w:b/>
          <w:sz w:val="24"/>
          <w:szCs w:val="24"/>
        </w:rPr>
        <w:t xml:space="preserve">                                             </w:t>
      </w:r>
    </w:p>
    <w:p>
      <w:pPr>
        <w:spacing w:line="360" w:lineRule="auto"/>
        <w:ind w:firstLine="2289" w:firstLineChars="950"/>
        <w:jc w:val="center"/>
        <w:rPr>
          <w:rFonts w:ascii="宋体" w:hAnsi="宋体" w:eastAsia="宋体" w:cs="宋体"/>
          <w:b/>
          <w:sz w:val="24"/>
          <w:szCs w:val="24"/>
        </w:rPr>
      </w:pPr>
      <w:r>
        <w:rPr>
          <w:rFonts w:hint="eastAsia" w:ascii="宋体" w:hAnsi="宋体" w:eastAsia="宋体" w:cs="宋体"/>
          <w:b/>
          <w:sz w:val="24"/>
          <w:szCs w:val="24"/>
        </w:rPr>
        <w:t xml:space="preserve"> 声明人：（公章）</w:t>
      </w:r>
    </w:p>
    <w:p>
      <w:pPr>
        <w:spacing w:line="360" w:lineRule="auto"/>
        <w:ind w:firstLine="2289" w:firstLineChars="950"/>
        <w:jc w:val="left"/>
        <w:rPr>
          <w:rFonts w:ascii="宋体" w:hAnsi="宋体" w:eastAsia="宋体" w:cs="宋体"/>
          <w:b/>
          <w:sz w:val="24"/>
          <w:szCs w:val="24"/>
        </w:rPr>
      </w:pPr>
      <w:r>
        <w:rPr>
          <w:rFonts w:hint="eastAsia" w:ascii="宋体" w:hAnsi="宋体" w:eastAsia="宋体" w:cs="宋体"/>
          <w:b/>
          <w:sz w:val="24"/>
          <w:szCs w:val="24"/>
        </w:rPr>
        <w:t xml:space="preserve">                        年     月    日</w:t>
      </w:r>
    </w:p>
    <w:p>
      <w:pPr>
        <w:spacing w:line="360" w:lineRule="auto"/>
        <w:ind w:firstLine="2289" w:firstLineChars="950"/>
        <w:jc w:val="left"/>
        <w:rPr>
          <w:rFonts w:ascii="宋体" w:hAnsi="宋体" w:eastAsia="宋体" w:cs="宋体"/>
          <w:b/>
          <w:sz w:val="24"/>
          <w:szCs w:val="24"/>
        </w:rPr>
      </w:pPr>
    </w:p>
    <w:p>
      <w:pPr>
        <w:spacing w:line="360" w:lineRule="auto"/>
        <w:ind w:firstLine="2289" w:firstLineChars="950"/>
        <w:jc w:val="left"/>
        <w:rPr>
          <w:rFonts w:ascii="宋体" w:hAnsi="宋体" w:eastAsia="宋体" w:cs="宋体"/>
          <w:b/>
          <w:sz w:val="24"/>
          <w:szCs w:val="24"/>
        </w:rPr>
      </w:pPr>
    </w:p>
    <w:p>
      <w:pPr>
        <w:rPr>
          <w:rFonts w:ascii="宋体" w:hAnsi="宋体" w:eastAsia="宋体"/>
          <w:b/>
          <w:sz w:val="28"/>
          <w:szCs w:val="28"/>
        </w:rPr>
      </w:pPr>
      <w:r>
        <w:rPr>
          <w:rFonts w:hint="eastAsia" w:ascii="宋体" w:hAnsi="宋体" w:eastAsia="宋体"/>
          <w:b/>
          <w:sz w:val="28"/>
          <w:szCs w:val="28"/>
        </w:rPr>
        <w:br w:type="page"/>
      </w:r>
    </w:p>
    <w:p>
      <w:pPr>
        <w:snapToGrid w:val="0"/>
        <w:spacing w:afterLines="100" w:line="520" w:lineRule="exact"/>
        <w:jc w:val="center"/>
        <w:rPr>
          <w:rFonts w:ascii="宋体" w:hAnsi="宋体" w:eastAsia="宋体"/>
          <w:b/>
          <w:sz w:val="28"/>
          <w:szCs w:val="28"/>
        </w:rPr>
      </w:pPr>
      <w:r>
        <w:rPr>
          <w:rFonts w:hint="eastAsia" w:ascii="宋体" w:hAnsi="宋体" w:eastAsia="宋体"/>
          <w:b/>
          <w:sz w:val="28"/>
          <w:szCs w:val="28"/>
        </w:rPr>
        <w:t>关于资格文件的声明函</w:t>
      </w:r>
    </w:p>
    <w:p>
      <w:pPr>
        <w:pStyle w:val="8"/>
        <w:overflowPunct w:val="0"/>
        <w:spacing w:line="360" w:lineRule="auto"/>
        <w:jc w:val="center"/>
        <w:rPr>
          <w:rFonts w:ascii="宋体" w:hAnsi="宋体" w:eastAsia="宋体" w:cs="宋体"/>
        </w:rPr>
      </w:pPr>
    </w:p>
    <w:p>
      <w:pPr>
        <w:pStyle w:val="8"/>
        <w:overflowPunct w:val="0"/>
        <w:spacing w:line="360" w:lineRule="auto"/>
        <w:ind w:firstLine="0"/>
        <w:rPr>
          <w:rFonts w:ascii="宋体" w:hAnsi="宋体" w:eastAsia="宋体" w:cs="宋体"/>
          <w:bCs/>
          <w:sz w:val="23"/>
          <w:szCs w:val="23"/>
        </w:rPr>
      </w:pPr>
      <w:r>
        <w:rPr>
          <w:rFonts w:hint="eastAsia" w:ascii="宋体" w:hAnsi="宋体" w:eastAsia="宋体" w:cs="宋体"/>
          <w:b/>
          <w:szCs w:val="24"/>
          <w:u w:val="single"/>
        </w:rPr>
        <w:t>南通市妇幼保健院</w:t>
      </w:r>
      <w:r>
        <w:rPr>
          <w:rFonts w:hint="eastAsia" w:ascii="宋体" w:hAnsi="宋体" w:eastAsia="宋体" w:cs="宋体"/>
          <w:bCs/>
          <w:sz w:val="23"/>
          <w:szCs w:val="23"/>
        </w:rPr>
        <w:t>：</w:t>
      </w:r>
    </w:p>
    <w:p>
      <w:pPr>
        <w:pStyle w:val="8"/>
        <w:overflowPunct w:val="0"/>
        <w:spacing w:line="360" w:lineRule="auto"/>
        <w:ind w:firstLine="660"/>
        <w:rPr>
          <w:rFonts w:ascii="宋体" w:hAnsi="宋体" w:eastAsia="宋体" w:cs="宋体"/>
          <w:bCs/>
          <w:szCs w:val="24"/>
        </w:rPr>
      </w:pPr>
      <w:r>
        <w:rPr>
          <w:rFonts w:hint="eastAsia" w:ascii="宋体" w:hAnsi="宋体" w:eastAsia="宋体" w:cs="宋体"/>
          <w:bCs/>
          <w:szCs w:val="24"/>
        </w:rPr>
        <w:t>本公司愿就由贵单位组织实施的</w:t>
      </w:r>
      <w:r>
        <w:rPr>
          <w:rFonts w:hint="eastAsia" w:ascii="宋体" w:hAnsi="宋体" w:eastAsia="宋体" w:cs="宋体"/>
          <w:bCs/>
          <w:szCs w:val="24"/>
          <w:u w:val="single"/>
        </w:rPr>
        <w:t xml:space="preserve">            </w:t>
      </w:r>
      <w:r>
        <w:rPr>
          <w:rFonts w:hint="eastAsia" w:ascii="宋体" w:hAnsi="宋体" w:eastAsia="宋体" w:cs="宋体"/>
          <w:bCs/>
          <w:szCs w:val="24"/>
        </w:rPr>
        <w:t>（项目名称)招标活动进行投标。本公司所提交的磋商响应文件中所有关于投标资格的文件、证明和陈述均是真实的、准确的。若与真实情况不符，本公司愿意承担由此而产生的一切后果。</w:t>
      </w:r>
    </w:p>
    <w:p>
      <w:pPr>
        <w:pStyle w:val="8"/>
        <w:overflowPunct w:val="0"/>
        <w:spacing w:line="420" w:lineRule="exact"/>
        <w:rPr>
          <w:rFonts w:ascii="宋体" w:hAnsi="宋体" w:eastAsia="宋体" w:cs="宋体"/>
          <w:bCs/>
          <w:szCs w:val="24"/>
        </w:rPr>
      </w:pPr>
    </w:p>
    <w:p>
      <w:pPr>
        <w:pStyle w:val="8"/>
        <w:overflowPunct w:val="0"/>
        <w:spacing w:line="420" w:lineRule="exact"/>
        <w:rPr>
          <w:rFonts w:ascii="宋体" w:hAnsi="宋体" w:eastAsia="宋体" w:cs="宋体"/>
          <w:bCs/>
          <w:szCs w:val="24"/>
        </w:rPr>
      </w:pPr>
    </w:p>
    <w:p>
      <w:pPr>
        <w:pStyle w:val="8"/>
        <w:overflowPunct w:val="0"/>
        <w:spacing w:line="420" w:lineRule="exact"/>
        <w:rPr>
          <w:rFonts w:ascii="宋体" w:hAnsi="宋体" w:eastAsia="宋体" w:cs="宋体"/>
          <w:bCs/>
          <w:szCs w:val="24"/>
        </w:rPr>
      </w:pPr>
    </w:p>
    <w:p>
      <w:pPr>
        <w:pStyle w:val="8"/>
        <w:overflowPunct w:val="0"/>
        <w:spacing w:line="360" w:lineRule="auto"/>
        <w:rPr>
          <w:rFonts w:ascii="宋体" w:hAnsi="宋体" w:eastAsia="宋体" w:cs="宋体"/>
          <w:bCs/>
          <w:szCs w:val="24"/>
        </w:rPr>
      </w:pPr>
      <w:r>
        <w:rPr>
          <w:rFonts w:hint="eastAsia" w:ascii="宋体" w:hAnsi="宋体" w:eastAsia="宋体" w:cs="宋体"/>
          <w:bCs/>
          <w:szCs w:val="24"/>
        </w:rPr>
        <w:t xml:space="preserve"> </w:t>
      </w:r>
      <w:r>
        <w:rPr>
          <w:rFonts w:hint="eastAsia" w:ascii="宋体" w:hAnsi="宋体" w:eastAsia="宋体" w:cs="宋体"/>
          <w:bCs/>
          <w:szCs w:val="24"/>
        </w:rPr>
        <w:tab/>
      </w:r>
      <w:r>
        <w:rPr>
          <w:rFonts w:hint="eastAsia" w:ascii="宋体" w:hAnsi="宋体" w:eastAsia="宋体" w:cs="宋体"/>
          <w:bCs/>
          <w:szCs w:val="24"/>
        </w:rPr>
        <w:tab/>
      </w:r>
      <w:r>
        <w:rPr>
          <w:rFonts w:hint="eastAsia" w:ascii="宋体" w:hAnsi="宋体" w:eastAsia="宋体" w:cs="宋体"/>
          <w:bCs/>
          <w:szCs w:val="24"/>
        </w:rPr>
        <w:tab/>
      </w:r>
      <w:r>
        <w:rPr>
          <w:rFonts w:hint="eastAsia" w:ascii="宋体" w:hAnsi="宋体" w:eastAsia="宋体" w:cs="宋体"/>
          <w:bCs/>
          <w:szCs w:val="24"/>
        </w:rPr>
        <w:tab/>
      </w:r>
      <w:r>
        <w:rPr>
          <w:rFonts w:hint="eastAsia" w:ascii="宋体" w:hAnsi="宋体" w:eastAsia="宋体" w:cs="宋体"/>
          <w:bCs/>
          <w:szCs w:val="24"/>
        </w:rPr>
        <w:t xml:space="preserve">           （供应商）法定代表人（签字或盖章）：</w:t>
      </w:r>
    </w:p>
    <w:p>
      <w:pPr>
        <w:pStyle w:val="8"/>
        <w:overflowPunct w:val="0"/>
        <w:spacing w:line="360" w:lineRule="auto"/>
        <w:ind w:left="1700" w:firstLine="425"/>
        <w:rPr>
          <w:rFonts w:ascii="宋体" w:hAnsi="宋体" w:eastAsia="宋体" w:cs="宋体"/>
          <w:bCs/>
          <w:szCs w:val="24"/>
        </w:rPr>
      </w:pPr>
      <w:r>
        <w:rPr>
          <w:rFonts w:hint="eastAsia" w:ascii="宋体" w:hAnsi="宋体" w:eastAsia="宋体" w:cs="宋体"/>
          <w:bCs/>
          <w:szCs w:val="24"/>
        </w:rPr>
        <w:t xml:space="preserve">            （供应商）公章：</w:t>
      </w:r>
    </w:p>
    <w:p>
      <w:pPr>
        <w:spacing w:line="360" w:lineRule="auto"/>
        <w:jc w:val="center"/>
        <w:rPr>
          <w:rStyle w:val="78"/>
          <w:rFonts w:eastAsia="宋体" w:cs="宋体"/>
          <w:b w:val="0"/>
          <w:sz w:val="24"/>
          <w:szCs w:val="24"/>
        </w:rPr>
      </w:pPr>
      <w:r>
        <w:rPr>
          <w:rFonts w:hint="eastAsia" w:ascii="宋体" w:hAnsi="宋体" w:eastAsia="宋体" w:cs="宋体"/>
          <w:bCs/>
          <w:sz w:val="24"/>
          <w:szCs w:val="24"/>
        </w:rPr>
        <w:t xml:space="preserve">          年</w:t>
      </w:r>
      <w:r>
        <w:rPr>
          <w:rFonts w:hint="eastAsia" w:ascii="宋体" w:hAnsi="宋体" w:eastAsia="宋体" w:cs="宋体"/>
          <w:bCs/>
          <w:sz w:val="24"/>
          <w:szCs w:val="24"/>
        </w:rPr>
        <w:tab/>
      </w:r>
      <w:r>
        <w:rPr>
          <w:rFonts w:hint="eastAsia" w:ascii="宋体" w:hAnsi="宋体" w:eastAsia="宋体" w:cs="宋体"/>
          <w:bCs/>
          <w:sz w:val="24"/>
          <w:szCs w:val="24"/>
        </w:rPr>
        <w:t xml:space="preserve"> 月    日</w:t>
      </w:r>
    </w:p>
    <w:p>
      <w:pPr>
        <w:snapToGrid w:val="0"/>
        <w:spacing w:afterLines="100" w:line="520" w:lineRule="exact"/>
        <w:jc w:val="center"/>
        <w:rPr>
          <w:rFonts w:ascii="宋体" w:hAnsi="宋体" w:eastAsia="宋体"/>
          <w:b/>
          <w:sz w:val="28"/>
          <w:szCs w:val="28"/>
        </w:rPr>
      </w:pPr>
      <w:r>
        <w:rPr>
          <w:rFonts w:hint="eastAsia" w:ascii="宋体" w:hAnsi="宋体" w:cs="宋体"/>
          <w:sz w:val="30"/>
          <w:szCs w:val="30"/>
        </w:rPr>
        <w:br w:type="page"/>
      </w:r>
      <w:r>
        <w:rPr>
          <w:rFonts w:hint="eastAsia" w:ascii="宋体" w:hAnsi="宋体" w:eastAsia="宋体"/>
          <w:b/>
          <w:sz w:val="28"/>
          <w:szCs w:val="28"/>
        </w:rPr>
        <w:t>供应商情况一览表</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457"/>
        <w:gridCol w:w="914"/>
        <w:gridCol w:w="394"/>
        <w:gridCol w:w="1129"/>
        <w:gridCol w:w="609"/>
        <w:gridCol w:w="1019"/>
        <w:gridCol w:w="1519"/>
        <w:gridCol w:w="127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pct"/>
            <w:gridSpan w:val="2"/>
            <w:tcBorders>
              <w:top w:val="double" w:color="auto" w:sz="4" w:space="0"/>
              <w:left w:val="double" w:color="auto" w:sz="4" w:space="0"/>
            </w:tcBorders>
            <w:vAlign w:val="center"/>
          </w:tcPr>
          <w:p>
            <w:pPr>
              <w:tabs>
                <w:tab w:val="left" w:pos="4320"/>
              </w:tabs>
              <w:jc w:val="center"/>
              <w:rPr>
                <w:rFonts w:ascii="宋体" w:hAnsi="宋体" w:eastAsia="宋体"/>
                <w:sz w:val="24"/>
                <w:szCs w:val="24"/>
              </w:rPr>
            </w:pPr>
            <w:r>
              <w:rPr>
                <w:rFonts w:hint="eastAsia" w:ascii="宋体" w:hAnsi="宋体" w:eastAsia="宋体"/>
                <w:sz w:val="24"/>
                <w:szCs w:val="24"/>
              </w:rPr>
              <w:t>单位名称</w:t>
            </w:r>
          </w:p>
        </w:tc>
        <w:tc>
          <w:tcPr>
            <w:tcW w:w="4322" w:type="pct"/>
            <w:gridSpan w:val="8"/>
            <w:tcBorders>
              <w:top w:val="doub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2" w:type="pct"/>
            <w:gridSpan w:val="3"/>
            <w:tcBorders>
              <w:left w:val="double" w:color="auto" w:sz="4" w:space="0"/>
              <w:right w:val="sing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单位优势及特长</w:t>
            </w:r>
          </w:p>
        </w:tc>
        <w:tc>
          <w:tcPr>
            <w:tcW w:w="3858" w:type="pct"/>
            <w:gridSpan w:val="7"/>
            <w:tcBorders>
              <w:left w:val="sing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单位</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概况</w:t>
            </w: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职工总数</w:t>
            </w:r>
          </w:p>
        </w:tc>
        <w:tc>
          <w:tcPr>
            <w:tcW w:w="773" w:type="pct"/>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人</w:t>
            </w:r>
          </w:p>
        </w:tc>
        <w:tc>
          <w:tcPr>
            <w:tcW w:w="309" w:type="pct"/>
            <w:vMerge w:val="restart"/>
            <w:vAlign w:val="center"/>
          </w:tcPr>
          <w:p>
            <w:pPr>
              <w:tabs>
                <w:tab w:val="left" w:pos="4320"/>
              </w:tabs>
              <w:rPr>
                <w:rFonts w:ascii="宋体" w:hAnsi="宋体" w:eastAsia="宋体"/>
                <w:sz w:val="24"/>
                <w:szCs w:val="24"/>
              </w:rPr>
            </w:pPr>
            <w:r>
              <w:rPr>
                <w:rFonts w:hint="eastAsia" w:ascii="宋体" w:hAnsi="宋体" w:eastAsia="宋体"/>
                <w:sz w:val="24"/>
                <w:szCs w:val="24"/>
              </w:rPr>
              <w:t>上一年主要经济指标</w:t>
            </w:r>
          </w:p>
        </w:tc>
        <w:tc>
          <w:tcPr>
            <w:tcW w:w="516" w:type="pct"/>
            <w:vAlign w:val="center"/>
          </w:tcPr>
          <w:p>
            <w:pPr>
              <w:tabs>
                <w:tab w:val="left" w:pos="4320"/>
              </w:tabs>
              <w:jc w:val="center"/>
              <w:rPr>
                <w:rFonts w:ascii="宋体" w:hAnsi="宋体" w:eastAsia="宋体"/>
                <w:sz w:val="24"/>
                <w:szCs w:val="24"/>
              </w:rPr>
            </w:pPr>
            <w:r>
              <w:rPr>
                <w:rFonts w:hint="eastAsia" w:ascii="宋体" w:hAnsi="宋体" w:eastAsia="宋体"/>
                <w:sz w:val="24"/>
                <w:szCs w:val="24"/>
              </w:rPr>
              <w:t>营业额</w:t>
            </w:r>
          </w:p>
        </w:tc>
        <w:tc>
          <w:tcPr>
            <w:tcW w:w="771" w:type="pct"/>
            <w:vAlign w:val="center"/>
          </w:tcPr>
          <w:p>
            <w:pPr>
              <w:tabs>
                <w:tab w:val="left" w:pos="4320"/>
              </w:tabs>
              <w:rPr>
                <w:rFonts w:ascii="宋体" w:hAnsi="宋体" w:eastAsia="宋体"/>
                <w:sz w:val="24"/>
                <w:szCs w:val="24"/>
              </w:rPr>
            </w:pPr>
          </w:p>
        </w:tc>
        <w:tc>
          <w:tcPr>
            <w:tcW w:w="646" w:type="pct"/>
            <w:vAlign w:val="center"/>
          </w:tcPr>
          <w:p>
            <w:pPr>
              <w:tabs>
                <w:tab w:val="left" w:pos="4320"/>
              </w:tabs>
              <w:jc w:val="center"/>
              <w:rPr>
                <w:rFonts w:ascii="宋体" w:hAnsi="宋体" w:eastAsia="宋体"/>
                <w:sz w:val="24"/>
                <w:szCs w:val="24"/>
              </w:rPr>
            </w:pPr>
            <w:r>
              <w:rPr>
                <w:rFonts w:hint="eastAsia" w:ascii="宋体" w:hAnsi="宋体" w:eastAsia="宋体"/>
                <w:sz w:val="24"/>
                <w:szCs w:val="24"/>
              </w:rPr>
              <w:t>实现利润</w:t>
            </w:r>
          </w:p>
        </w:tc>
        <w:tc>
          <w:tcPr>
            <w:tcW w:w="842" w:type="pct"/>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流动资金</w:t>
            </w:r>
          </w:p>
        </w:tc>
        <w:tc>
          <w:tcPr>
            <w:tcW w:w="773" w:type="pct"/>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万元</w:t>
            </w:r>
          </w:p>
        </w:tc>
        <w:tc>
          <w:tcPr>
            <w:tcW w:w="309" w:type="pct"/>
            <w:vMerge w:val="continue"/>
            <w:vAlign w:val="center"/>
          </w:tcPr>
          <w:p>
            <w:pPr>
              <w:tabs>
                <w:tab w:val="left" w:pos="4320"/>
              </w:tabs>
              <w:rPr>
                <w:rFonts w:ascii="宋体" w:hAnsi="宋体" w:eastAsia="宋体"/>
                <w:sz w:val="24"/>
                <w:szCs w:val="24"/>
              </w:rPr>
            </w:pPr>
          </w:p>
        </w:tc>
        <w:tc>
          <w:tcPr>
            <w:tcW w:w="516" w:type="pct"/>
            <w:vMerge w:val="restart"/>
            <w:vAlign w:val="center"/>
          </w:tcPr>
          <w:p>
            <w:pPr>
              <w:tabs>
                <w:tab w:val="left" w:pos="4320"/>
              </w:tabs>
              <w:jc w:val="center"/>
              <w:rPr>
                <w:rFonts w:ascii="宋体" w:hAnsi="宋体" w:eastAsia="宋体"/>
                <w:sz w:val="24"/>
                <w:szCs w:val="24"/>
              </w:rPr>
            </w:pPr>
            <w:r>
              <w:rPr>
                <w:rFonts w:hint="eastAsia" w:ascii="宋体" w:hAnsi="宋体" w:eastAsia="宋体"/>
                <w:sz w:val="24"/>
                <w:szCs w:val="24"/>
              </w:rPr>
              <w:t>主要</w:t>
            </w:r>
          </w:p>
          <w:p>
            <w:pPr>
              <w:tabs>
                <w:tab w:val="left" w:pos="4320"/>
              </w:tabs>
              <w:jc w:val="center"/>
              <w:rPr>
                <w:rFonts w:ascii="宋体" w:hAnsi="宋体" w:eastAsia="宋体"/>
                <w:sz w:val="24"/>
                <w:szCs w:val="24"/>
              </w:rPr>
            </w:pPr>
            <w:r>
              <w:rPr>
                <w:rFonts w:hint="eastAsia" w:ascii="宋体" w:hAnsi="宋体" w:eastAsia="宋体"/>
                <w:sz w:val="24"/>
                <w:szCs w:val="24"/>
              </w:rPr>
              <w:t>业绩</w:t>
            </w:r>
          </w:p>
        </w:tc>
        <w:tc>
          <w:tcPr>
            <w:tcW w:w="2260" w:type="pct"/>
            <w:gridSpan w:val="3"/>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446" w:type="pct"/>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固定资产</w:t>
            </w:r>
          </w:p>
          <w:p>
            <w:pPr>
              <w:tabs>
                <w:tab w:val="left" w:pos="4320"/>
              </w:tabs>
              <w:jc w:val="center"/>
              <w:rPr>
                <w:rFonts w:ascii="宋体" w:hAnsi="宋体" w:eastAsia="宋体"/>
                <w:sz w:val="24"/>
                <w:szCs w:val="24"/>
              </w:rPr>
            </w:pPr>
            <w:r>
              <w:rPr>
                <w:rFonts w:hint="eastAsia" w:ascii="宋体" w:hAnsi="宋体" w:eastAsia="宋体"/>
                <w:sz w:val="24"/>
                <w:szCs w:val="24"/>
              </w:rPr>
              <w:t>（万元）</w:t>
            </w:r>
          </w:p>
        </w:tc>
        <w:tc>
          <w:tcPr>
            <w:tcW w:w="773" w:type="pct"/>
            <w:gridSpan w:val="2"/>
            <w:vAlign w:val="center"/>
          </w:tcPr>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原值：</w:t>
            </w:r>
          </w:p>
          <w:p>
            <w:pPr>
              <w:tabs>
                <w:tab w:val="left" w:pos="-48"/>
                <w:tab w:val="left" w:pos="4320"/>
              </w:tabs>
              <w:ind w:hanging="48"/>
              <w:jc w:val="right"/>
              <w:rPr>
                <w:rFonts w:ascii="宋体" w:hAnsi="宋体" w:eastAsia="宋体"/>
                <w:sz w:val="24"/>
                <w:szCs w:val="24"/>
              </w:rPr>
            </w:pPr>
          </w:p>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净值：</w:t>
            </w:r>
          </w:p>
          <w:p>
            <w:pPr>
              <w:tabs>
                <w:tab w:val="left" w:pos="-48"/>
                <w:tab w:val="left" w:pos="4320"/>
              </w:tabs>
              <w:ind w:hanging="48"/>
              <w:jc w:val="right"/>
              <w:rPr>
                <w:rFonts w:ascii="宋体" w:hAnsi="宋体" w:eastAsia="宋体"/>
                <w:sz w:val="24"/>
                <w:szCs w:val="24"/>
              </w:rPr>
            </w:pPr>
          </w:p>
        </w:tc>
        <w:tc>
          <w:tcPr>
            <w:tcW w:w="309" w:type="pct"/>
            <w:vMerge w:val="continue"/>
            <w:vAlign w:val="center"/>
          </w:tcPr>
          <w:p>
            <w:pPr>
              <w:tabs>
                <w:tab w:val="left" w:pos="4320"/>
              </w:tabs>
              <w:rPr>
                <w:rFonts w:ascii="宋体" w:hAnsi="宋体" w:eastAsia="宋体"/>
                <w:sz w:val="24"/>
                <w:szCs w:val="24"/>
              </w:rPr>
            </w:pPr>
          </w:p>
        </w:tc>
        <w:tc>
          <w:tcPr>
            <w:tcW w:w="516" w:type="pct"/>
            <w:vMerge w:val="continue"/>
            <w:vAlign w:val="center"/>
          </w:tcPr>
          <w:p>
            <w:pPr>
              <w:tabs>
                <w:tab w:val="left" w:pos="4320"/>
              </w:tabs>
              <w:jc w:val="center"/>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占地面积</w:t>
            </w:r>
          </w:p>
        </w:tc>
        <w:tc>
          <w:tcPr>
            <w:tcW w:w="773" w:type="pct"/>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M</w:t>
            </w:r>
            <w:r>
              <w:rPr>
                <w:rFonts w:hint="eastAsia" w:ascii="宋体" w:hAnsi="宋体" w:eastAsia="宋体"/>
                <w:sz w:val="24"/>
                <w:szCs w:val="24"/>
                <w:vertAlign w:val="superscript"/>
              </w:rPr>
              <w:t>2</w:t>
            </w:r>
          </w:p>
        </w:tc>
        <w:tc>
          <w:tcPr>
            <w:tcW w:w="309" w:type="pct"/>
            <w:vMerge w:val="continue"/>
            <w:vAlign w:val="center"/>
          </w:tcPr>
          <w:p>
            <w:pPr>
              <w:tabs>
                <w:tab w:val="left" w:pos="4320"/>
              </w:tabs>
              <w:rPr>
                <w:rFonts w:ascii="宋体" w:hAnsi="宋体" w:eastAsia="宋体"/>
                <w:sz w:val="24"/>
                <w:szCs w:val="24"/>
              </w:rPr>
            </w:pPr>
          </w:p>
        </w:tc>
        <w:tc>
          <w:tcPr>
            <w:tcW w:w="516" w:type="pct"/>
            <w:vMerge w:val="continue"/>
            <w:vAlign w:val="center"/>
          </w:tcPr>
          <w:p>
            <w:pPr>
              <w:tabs>
                <w:tab w:val="left" w:pos="4320"/>
              </w:tabs>
              <w:jc w:val="center"/>
              <w:rPr>
                <w:rFonts w:ascii="宋体" w:hAnsi="宋体" w:eastAsia="宋体"/>
                <w:sz w:val="24"/>
                <w:szCs w:val="24"/>
              </w:rPr>
            </w:pPr>
          </w:p>
        </w:tc>
        <w:tc>
          <w:tcPr>
            <w:tcW w:w="2260" w:type="pct"/>
            <w:gridSpan w:val="3"/>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本次</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投标</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人员</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情况</w:t>
            </w:r>
          </w:p>
        </w:tc>
        <w:tc>
          <w:tcPr>
            <w:tcW w:w="896" w:type="pct"/>
            <w:gridSpan w:val="3"/>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姓名</w:t>
            </w:r>
          </w:p>
        </w:tc>
        <w:tc>
          <w:tcPr>
            <w:tcW w:w="882" w:type="pct"/>
            <w:gridSpan w:val="2"/>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具备证书</w:t>
            </w:r>
          </w:p>
        </w:tc>
        <w:tc>
          <w:tcPr>
            <w:tcW w:w="516" w:type="pct"/>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年龄</w:t>
            </w:r>
          </w:p>
        </w:tc>
        <w:tc>
          <w:tcPr>
            <w:tcW w:w="2260" w:type="pct"/>
            <w:gridSpan w:val="3"/>
            <w:tcBorders>
              <w:right w:val="double" w:color="auto" w:sz="4" w:space="0"/>
            </w:tcBorders>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tcBorders>
              <w:lef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其它</w:t>
            </w:r>
          </w:p>
        </w:tc>
        <w:tc>
          <w:tcPr>
            <w:tcW w:w="2295" w:type="pct"/>
            <w:gridSpan w:val="6"/>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2260" w:type="pct"/>
            <w:gridSpan w:val="3"/>
            <w:tcBorders>
              <w:right w:val="double" w:color="auto" w:sz="4" w:space="0"/>
            </w:tcBorders>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446" w:type="pct"/>
            <w:vMerge w:val="continue"/>
            <w:tcBorders>
              <w:left w:val="double" w:color="auto" w:sz="4" w:space="0"/>
              <w:bottom w:val="double" w:color="auto" w:sz="4" w:space="0"/>
            </w:tcBorders>
            <w:vAlign w:val="center"/>
          </w:tcPr>
          <w:p>
            <w:pPr>
              <w:tabs>
                <w:tab w:val="left" w:pos="4320"/>
              </w:tabs>
              <w:rPr>
                <w:rFonts w:ascii="宋体" w:hAnsi="宋体" w:eastAsia="宋体"/>
                <w:sz w:val="24"/>
                <w:szCs w:val="24"/>
              </w:rPr>
            </w:pPr>
          </w:p>
        </w:tc>
        <w:tc>
          <w:tcPr>
            <w:tcW w:w="2295" w:type="pct"/>
            <w:gridSpan w:val="6"/>
            <w:tcBorders>
              <w:bottom w:val="double" w:color="auto" w:sz="4" w:space="0"/>
            </w:tcBorders>
            <w:vAlign w:val="center"/>
          </w:tcPr>
          <w:p>
            <w:pPr>
              <w:tabs>
                <w:tab w:val="left" w:pos="4320"/>
              </w:tabs>
              <w:rPr>
                <w:rFonts w:ascii="宋体" w:hAnsi="宋体" w:eastAsia="宋体"/>
                <w:sz w:val="24"/>
                <w:szCs w:val="24"/>
              </w:rPr>
            </w:pPr>
          </w:p>
        </w:tc>
        <w:tc>
          <w:tcPr>
            <w:tcW w:w="2260" w:type="pct"/>
            <w:gridSpan w:val="3"/>
            <w:tcBorders>
              <w:bottom w:val="double" w:color="auto" w:sz="4" w:space="0"/>
              <w:right w:val="double" w:color="auto" w:sz="4" w:space="0"/>
            </w:tcBorders>
            <w:vAlign w:val="center"/>
          </w:tcPr>
          <w:p>
            <w:pPr>
              <w:tabs>
                <w:tab w:val="left" w:pos="4320"/>
              </w:tabs>
              <w:rPr>
                <w:rFonts w:ascii="宋体" w:hAnsi="宋体" w:eastAsia="宋体"/>
                <w:sz w:val="24"/>
                <w:szCs w:val="24"/>
              </w:rPr>
            </w:pPr>
          </w:p>
        </w:tc>
      </w:tr>
    </w:tbl>
    <w:p>
      <w:pPr>
        <w:widowControl/>
        <w:jc w:val="left"/>
        <w:rPr>
          <w:rFonts w:ascii="宋体" w:hAnsi="宋体" w:eastAsia="宋体"/>
          <w:b/>
          <w:sz w:val="28"/>
          <w:szCs w:val="28"/>
        </w:rPr>
      </w:pPr>
    </w:p>
    <w:p>
      <w:pPr>
        <w:snapToGrid w:val="0"/>
        <w:spacing w:afterLines="100" w:line="520" w:lineRule="exact"/>
        <w:jc w:val="center"/>
        <w:rPr>
          <w:b/>
          <w:sz w:val="36"/>
          <w:szCs w:val="36"/>
        </w:rPr>
      </w:pPr>
      <w:r>
        <w:rPr>
          <w:rFonts w:ascii="宋体" w:hAnsi="宋体" w:eastAsia="宋体"/>
          <w:b/>
          <w:sz w:val="28"/>
          <w:szCs w:val="28"/>
        </w:rPr>
        <w:br w:type="page"/>
      </w:r>
      <w:r>
        <w:rPr>
          <w:rFonts w:hint="eastAsia" w:ascii="宋体" w:hAnsi="宋体" w:eastAsia="宋体"/>
          <w:b/>
          <w:sz w:val="28"/>
          <w:szCs w:val="28"/>
        </w:rPr>
        <w:t>技术响应正负偏离表</w:t>
      </w:r>
    </w:p>
    <w:p>
      <w:pPr>
        <w:ind w:firstLine="480" w:firstLineChars="200"/>
        <w:jc w:val="center"/>
        <w:rPr>
          <w:rFonts w:ascii="宋体" w:hAnsi="宋体" w:eastAsia="宋体"/>
          <w:sz w:val="24"/>
          <w:szCs w:val="24"/>
        </w:rPr>
      </w:pPr>
      <w:r>
        <w:rPr>
          <w:rFonts w:hint="eastAsia" w:ascii="宋体" w:hAnsi="宋体" w:eastAsia="宋体"/>
          <w:sz w:val="24"/>
          <w:szCs w:val="24"/>
        </w:rPr>
        <w:t>（由供应商据实提交，表格不够自行添加）</w:t>
      </w:r>
    </w:p>
    <w:p>
      <w:pPr>
        <w:spacing w:line="320" w:lineRule="exact"/>
        <w:rPr>
          <w:rFonts w:ascii="宋体" w:hAnsi="宋体" w:eastAsia="宋体" w:cs="宋体"/>
          <w:sz w:val="24"/>
          <w:u w:val="single"/>
        </w:rPr>
      </w:pPr>
      <w:r>
        <w:rPr>
          <w:rFonts w:hint="eastAsia" w:ascii="宋体" w:hAnsi="宋体" w:eastAsia="宋体" w:cs="宋体"/>
          <w:sz w:val="24"/>
        </w:rPr>
        <w:t>项目名称：</w:t>
      </w:r>
    </w:p>
    <w:tbl>
      <w:tblPr>
        <w:tblStyle w:val="5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1"/>
        <w:gridCol w:w="1421"/>
        <w:gridCol w:w="3045"/>
        <w:gridCol w:w="3061"/>
        <w:gridCol w:w="15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序号</w:t>
            </w:r>
          </w:p>
        </w:tc>
        <w:tc>
          <w:tcPr>
            <w:tcW w:w="721"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项目</w:t>
            </w:r>
          </w:p>
        </w:tc>
        <w:tc>
          <w:tcPr>
            <w:tcW w:w="154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磋商文件要求</w:t>
            </w:r>
          </w:p>
        </w:tc>
        <w:tc>
          <w:tcPr>
            <w:tcW w:w="155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响应文件响应情况</w:t>
            </w:r>
          </w:p>
        </w:tc>
        <w:tc>
          <w:tcPr>
            <w:tcW w:w="809"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eastAsia="宋体"/>
                <w:sz w:val="24"/>
                <w:szCs w:val="24"/>
              </w:rPr>
            </w:pPr>
          </w:p>
          <w:p>
            <w:pPr>
              <w:spacing w:line="340" w:lineRule="exact"/>
              <w:jc w:val="center"/>
              <w:rPr>
                <w:rFonts w:ascii="宋体" w:hAnsi="宋体" w:eastAsia="宋体"/>
                <w:sz w:val="24"/>
                <w:szCs w:val="24"/>
              </w:rPr>
            </w:pPr>
            <w:r>
              <w:rPr>
                <w:rFonts w:hint="eastAsia" w:ascii="宋体" w:hAnsi="宋体" w:eastAsia="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1</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2</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3</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4</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371" w:type="pct"/>
            <w:tcBorders>
              <w:top w:val="single" w:color="auto" w:sz="6" w:space="0"/>
              <w:left w:val="single" w:color="auto" w:sz="12" w:space="0"/>
              <w:bottom w:val="single" w:color="auto" w:sz="12" w:space="0"/>
              <w:right w:val="single" w:color="auto" w:sz="6" w:space="0"/>
            </w:tcBorders>
            <w:vAlign w:val="center"/>
          </w:tcPr>
          <w:p>
            <w:pPr>
              <w:spacing w:line="340" w:lineRule="exact"/>
              <w:jc w:val="center"/>
              <w:rPr>
                <w:rFonts w:ascii="宋体" w:hAnsi="宋体" w:eastAsia="宋体"/>
                <w:sz w:val="24"/>
                <w:szCs w:val="24"/>
              </w:rPr>
            </w:pPr>
            <w:r>
              <w:rPr>
                <w:rFonts w:ascii="宋体" w:hAnsi="宋体" w:eastAsia="宋体"/>
                <w:sz w:val="24"/>
                <w:szCs w:val="24"/>
              </w:rPr>
              <w:t>…</w:t>
            </w:r>
          </w:p>
        </w:tc>
        <w:tc>
          <w:tcPr>
            <w:tcW w:w="721" w:type="pct"/>
            <w:tcBorders>
              <w:top w:val="single" w:color="auto" w:sz="6" w:space="0"/>
              <w:left w:val="single" w:color="auto" w:sz="6" w:space="0"/>
              <w:bottom w:val="single" w:color="auto" w:sz="12"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sz w:val="24"/>
                <w:szCs w:val="24"/>
              </w:rPr>
            </w:pPr>
          </w:p>
        </w:tc>
        <w:tc>
          <w:tcPr>
            <w:tcW w:w="1553" w:type="pct"/>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12" w:space="0"/>
              <w:right w:val="single" w:color="auto" w:sz="12" w:space="0"/>
            </w:tcBorders>
          </w:tcPr>
          <w:p>
            <w:pPr>
              <w:spacing w:line="340" w:lineRule="exact"/>
              <w:rPr>
                <w:rFonts w:ascii="宋体" w:hAnsi="宋体" w:eastAsia="宋体"/>
                <w:sz w:val="24"/>
                <w:szCs w:val="24"/>
              </w:rPr>
            </w:pPr>
          </w:p>
        </w:tc>
      </w:tr>
    </w:tbl>
    <w:p>
      <w:pPr>
        <w:spacing w:line="260" w:lineRule="exact"/>
        <w:rPr>
          <w:sz w:val="24"/>
          <w:u w:val="single"/>
        </w:rPr>
      </w:pPr>
    </w:p>
    <w:p>
      <w:pPr>
        <w:pStyle w:val="28"/>
        <w:snapToGrid w:val="0"/>
        <w:spacing w:line="300" w:lineRule="auto"/>
        <w:contextualSpacing/>
        <w:rPr>
          <w:rFonts w:hAnsi="宋体" w:eastAsia="宋体"/>
          <w:b/>
          <w:sz w:val="24"/>
          <w:szCs w:val="24"/>
        </w:rPr>
      </w:pPr>
      <w:r>
        <w:rPr>
          <w:rFonts w:hint="eastAsia" w:hAnsi="宋体" w:eastAsia="宋体"/>
          <w:b/>
          <w:sz w:val="24"/>
          <w:szCs w:val="24"/>
        </w:rPr>
        <w:t>注：</w:t>
      </w:r>
    </w:p>
    <w:p>
      <w:pPr>
        <w:pStyle w:val="28"/>
        <w:snapToGrid w:val="0"/>
        <w:spacing w:line="300" w:lineRule="auto"/>
        <w:ind w:firstLine="480" w:firstLineChars="200"/>
        <w:contextualSpacing/>
        <w:rPr>
          <w:rFonts w:hAnsi="宋体" w:eastAsia="宋体"/>
          <w:sz w:val="24"/>
          <w:szCs w:val="24"/>
        </w:rPr>
      </w:pPr>
      <w:r>
        <w:rPr>
          <w:rFonts w:hint="eastAsia" w:hAnsi="宋体" w:eastAsia="宋体"/>
          <w:sz w:val="24"/>
          <w:szCs w:val="24"/>
        </w:rPr>
        <w:t>1、供应商提交的响应文件中与磋商文件第三章“项目需求”中的要求有不同时，应逐条填列在偏离表中，否则将认为供应商接受磋商文件的所有要求。完全响应部分不填。</w:t>
      </w:r>
    </w:p>
    <w:p>
      <w:pPr>
        <w:pStyle w:val="28"/>
        <w:snapToGrid w:val="0"/>
        <w:spacing w:line="300" w:lineRule="auto"/>
        <w:ind w:firstLine="480" w:firstLineChars="200"/>
        <w:contextualSpacing/>
        <w:rPr>
          <w:rFonts w:hAnsi="宋体" w:eastAsia="宋体"/>
          <w:sz w:val="24"/>
          <w:szCs w:val="24"/>
        </w:rPr>
      </w:pPr>
      <w:r>
        <w:rPr>
          <w:rFonts w:hint="eastAsia" w:hAnsi="宋体" w:eastAsia="宋体"/>
          <w:sz w:val="24"/>
          <w:szCs w:val="24"/>
        </w:rPr>
        <w:t>2、“偏离说明”一栏选择“正偏离”、“负偏离”进行填写。正偏离的确认和负偏离的是否响应磋商文件，经三分之二评委认定。</w:t>
      </w:r>
    </w:p>
    <w:p>
      <w:pPr>
        <w:snapToGrid w:val="0"/>
        <w:spacing w:line="300" w:lineRule="auto"/>
        <w:ind w:firstLine="480" w:firstLineChars="200"/>
        <w:contextualSpacing/>
        <w:rPr>
          <w:rFonts w:ascii="宋体" w:hAnsi="宋体" w:eastAsia="宋体"/>
          <w:sz w:val="24"/>
          <w:szCs w:val="24"/>
        </w:rPr>
      </w:pPr>
      <w:r>
        <w:rPr>
          <w:rFonts w:hint="eastAsia" w:ascii="宋体" w:hAnsi="宋体" w:eastAsia="宋体"/>
          <w:sz w:val="24"/>
          <w:szCs w:val="24"/>
        </w:rPr>
        <w:t>3、供应商如果虚假响应，将承担被没收全额磋商保证金的风险。</w:t>
      </w:r>
    </w:p>
    <w:p>
      <w:pPr>
        <w:snapToGrid w:val="0"/>
        <w:spacing w:line="300" w:lineRule="auto"/>
        <w:ind w:firstLine="480" w:firstLineChars="200"/>
        <w:contextualSpacing/>
        <w:rPr>
          <w:rFonts w:ascii="宋体" w:hAnsi="宋体" w:eastAsia="宋体"/>
          <w:sz w:val="24"/>
          <w:szCs w:val="24"/>
        </w:rPr>
      </w:pPr>
      <w:r>
        <w:rPr>
          <w:rFonts w:hint="eastAsia" w:ascii="宋体" w:hAnsi="宋体" w:eastAsia="宋体"/>
          <w:bCs/>
          <w:sz w:val="24"/>
          <w:szCs w:val="24"/>
        </w:rPr>
        <w:t>4、供应商若提供其他增值服务，可以在表中自行据实填写。</w:t>
      </w:r>
    </w:p>
    <w:p>
      <w:pPr>
        <w:widowControl/>
        <w:jc w:val="left"/>
        <w:rPr>
          <w:rFonts w:ascii="宋体" w:hAnsi="宋体" w:eastAsia="宋体"/>
          <w:b/>
          <w:sz w:val="28"/>
          <w:szCs w:val="28"/>
        </w:rPr>
      </w:pPr>
    </w:p>
    <w:p>
      <w:pPr>
        <w:widowControl/>
        <w:jc w:val="left"/>
        <w:rPr>
          <w:rFonts w:ascii="宋体" w:hAnsi="宋体" w:eastAsia="宋体"/>
          <w:b/>
          <w:sz w:val="28"/>
          <w:szCs w:val="28"/>
        </w:rPr>
      </w:pPr>
      <w:r>
        <w:rPr>
          <w:rFonts w:ascii="宋体" w:hAnsi="宋体" w:eastAsia="宋体"/>
          <w:b/>
          <w:sz w:val="28"/>
          <w:szCs w:val="28"/>
        </w:rPr>
        <w:br w:type="page"/>
      </w:r>
    </w:p>
    <w:p>
      <w:pPr>
        <w:snapToGrid w:val="0"/>
        <w:spacing w:afterLines="50" w:line="520" w:lineRule="exact"/>
        <w:jc w:val="center"/>
        <w:outlineLvl w:val="3"/>
        <w:rPr>
          <w:rFonts w:ascii="宋体" w:hAnsi="宋体" w:eastAsia="宋体" w:cs="宋体"/>
          <w:b/>
          <w:bCs/>
          <w:sz w:val="24"/>
          <w:szCs w:val="24"/>
        </w:rPr>
      </w:pPr>
      <w:r>
        <w:rPr>
          <w:rFonts w:hint="eastAsia" w:ascii="宋体" w:hAnsi="宋体" w:eastAsia="宋体"/>
          <w:b/>
          <w:sz w:val="28"/>
          <w:szCs w:val="28"/>
        </w:rPr>
        <w:t>竞争性磋商响应函</w:t>
      </w:r>
      <w:r>
        <w:rPr>
          <w:rFonts w:hint="eastAsia" w:ascii="宋体" w:hAnsi="宋体" w:eastAsia="宋体" w:cs="宋体"/>
          <w:bCs/>
          <w:sz w:val="24"/>
          <w:szCs w:val="24"/>
        </w:rPr>
        <w:t>（</w:t>
      </w:r>
      <w:r>
        <w:rPr>
          <w:rFonts w:hint="eastAsia" w:ascii="宋体" w:hAnsi="宋体" w:eastAsia="宋体" w:cs="宋体"/>
          <w:bCs/>
          <w:sz w:val="24"/>
          <w:szCs w:val="24"/>
          <w:u w:val="single"/>
        </w:rPr>
        <w:t>格式不得变动</w:t>
      </w:r>
      <w:r>
        <w:rPr>
          <w:rFonts w:hint="eastAsia" w:ascii="宋体" w:hAnsi="宋体" w:eastAsia="宋体" w:cs="宋体"/>
          <w:bCs/>
          <w:sz w:val="24"/>
          <w:szCs w:val="24"/>
        </w:rPr>
        <w:t>）</w:t>
      </w:r>
    </w:p>
    <w:p>
      <w:pPr>
        <w:overflowPunct w:val="0"/>
        <w:adjustRightInd w:val="0"/>
        <w:spacing w:line="520" w:lineRule="exact"/>
        <w:jc w:val="left"/>
        <w:textAlignment w:val="baseline"/>
        <w:rPr>
          <w:rFonts w:ascii="宋体" w:hAnsi="宋体" w:eastAsia="宋体" w:cs="宋体"/>
          <w:sz w:val="24"/>
          <w:szCs w:val="24"/>
          <w:u w:val="single"/>
        </w:rPr>
      </w:pPr>
      <w:r>
        <w:rPr>
          <w:rFonts w:hint="eastAsia" w:ascii="宋体" w:hAnsi="宋体" w:eastAsia="宋体" w:cs="宋体"/>
          <w:b/>
          <w:sz w:val="24"/>
          <w:szCs w:val="24"/>
          <w:u w:val="single"/>
        </w:rPr>
        <w:t>南通市妇幼保健院</w:t>
      </w:r>
      <w:r>
        <w:rPr>
          <w:rFonts w:hint="eastAsia" w:ascii="宋体" w:hAnsi="宋体" w:eastAsia="宋体" w:cs="宋体"/>
          <w:sz w:val="24"/>
          <w:szCs w:val="24"/>
          <w:u w:val="single"/>
        </w:rPr>
        <w:t xml:space="preserve"> ：</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依据贵单位委托代理机构组织的</w:t>
      </w:r>
      <w:r>
        <w:rPr>
          <w:rFonts w:hint="eastAsia" w:ascii="宋体" w:hAnsi="宋体" w:eastAsia="宋体" w:cs="宋体"/>
          <w:sz w:val="24"/>
          <w:szCs w:val="24"/>
          <w:u w:val="single"/>
        </w:rPr>
        <w:t xml:space="preserve">               </w:t>
      </w:r>
      <w:r>
        <w:rPr>
          <w:rFonts w:hint="eastAsia" w:ascii="宋体" w:hAnsi="宋体" w:eastAsia="宋体" w:cs="宋体"/>
          <w:sz w:val="24"/>
          <w:szCs w:val="24"/>
        </w:rPr>
        <w:t>（磋商项目名称)项目竞争性磋商的邀请，我方授权</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3、我公司已毫无保留地向贵方提供一切所需的证明材料。</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4、我公司承诺在本次磋商响应中提供的一切文件，无论是原件还是复印件均真实有效，绝无任何虚假、伪造和夸大的成份，且我公司提供的文件及为履行本磋商相对应的合同义务而完成的任何工作成果均不会涉嫌侵犯第三人的知识产权。否则，愿承担相应的后果和法律责任。</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5、我公司尊重磋商小组所作的评定结果，同时清楚理解到报价最低并非意味着必定获得成交资格。</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6、一旦成交，我方将根据竞争性磋商文件的规定，严格履行合同规定的责任和义务，并保证在竞争性磋商文件中规定的时间期限内完成合同项目。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hAnsi="宋体" w:eastAsia="宋体" w:cs="宋体"/>
          <w:sz w:val="24"/>
          <w:szCs w:val="24"/>
        </w:rPr>
      </w:pPr>
    </w:p>
    <w:p>
      <w:pPr>
        <w:snapToGrid w:val="0"/>
        <w:spacing w:line="520" w:lineRule="exact"/>
        <w:jc w:val="right"/>
        <w:rPr>
          <w:rFonts w:ascii="宋体" w:hAnsi="宋体" w:eastAsia="宋体" w:cs="宋体"/>
          <w:sz w:val="24"/>
          <w:szCs w:val="24"/>
        </w:rPr>
      </w:pPr>
      <w:r>
        <w:rPr>
          <w:rFonts w:hint="eastAsia" w:ascii="宋体" w:hAnsi="宋体" w:eastAsia="宋体" w:cs="宋体"/>
          <w:sz w:val="24"/>
          <w:szCs w:val="24"/>
        </w:rPr>
        <w:t>竞争性磋商响应单位：</w:t>
      </w:r>
      <w:r>
        <w:rPr>
          <w:rFonts w:hint="eastAsia" w:ascii="宋体" w:hAnsi="宋体" w:eastAsia="宋体" w:cs="宋体"/>
          <w:sz w:val="24"/>
          <w:szCs w:val="24"/>
          <w:u w:val="single"/>
        </w:rPr>
        <w:t xml:space="preserve">                    </w:t>
      </w:r>
      <w:r>
        <w:rPr>
          <w:rFonts w:hint="eastAsia" w:ascii="宋体" w:hAnsi="宋体" w:eastAsia="宋体" w:cs="宋体"/>
          <w:sz w:val="24"/>
          <w:szCs w:val="24"/>
        </w:rPr>
        <w:t>（加盖公章）</w:t>
      </w:r>
    </w:p>
    <w:p>
      <w:pPr>
        <w:snapToGrid w:val="0"/>
        <w:spacing w:line="52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napToGrid w:val="0"/>
        <w:spacing w:line="520" w:lineRule="exact"/>
        <w:jc w:val="right"/>
        <w:rPr>
          <w:rFonts w:ascii="宋体" w:hAnsi="宋体" w:eastAsia="宋体" w:cs="宋体"/>
          <w:sz w:val="24"/>
          <w:szCs w:val="24"/>
        </w:rPr>
      </w:pPr>
      <w:r>
        <w:rPr>
          <w:rFonts w:hint="eastAsia" w:ascii="宋体" w:hAnsi="宋体" w:eastAsia="宋体" w:cs="宋体"/>
          <w:sz w:val="24"/>
          <w:szCs w:val="24"/>
        </w:rPr>
        <w:t xml:space="preserve"> 年      月     日</w:t>
      </w:r>
    </w:p>
    <w:p>
      <w:pPr>
        <w:spacing w:line="380" w:lineRule="exact"/>
        <w:jc w:val="center"/>
        <w:rPr>
          <w:rFonts w:ascii="宋体" w:hAnsi="宋体" w:eastAsia="宋体" w:cs="宋体"/>
          <w:b/>
          <w:sz w:val="24"/>
          <w:szCs w:val="24"/>
        </w:rPr>
      </w:pPr>
    </w:p>
    <w:p>
      <w:pPr>
        <w:spacing w:line="380" w:lineRule="exact"/>
        <w:jc w:val="center"/>
        <w:rPr>
          <w:rFonts w:ascii="宋体" w:hAnsi="宋体" w:eastAsia="宋体" w:cs="宋体"/>
          <w:b/>
          <w:sz w:val="24"/>
          <w:szCs w:val="24"/>
        </w:rPr>
      </w:pPr>
    </w:p>
    <w:p>
      <w:pPr>
        <w:spacing w:line="380" w:lineRule="exact"/>
        <w:jc w:val="center"/>
        <w:rPr>
          <w:rFonts w:ascii="宋体" w:hAnsi="宋体" w:eastAsia="宋体" w:cs="宋体"/>
          <w:b/>
          <w:sz w:val="24"/>
          <w:szCs w:val="24"/>
        </w:rPr>
      </w:pPr>
    </w:p>
    <w:p>
      <w:pPr>
        <w:pStyle w:val="18"/>
        <w:rPr>
          <w:rFonts w:ascii="宋体" w:hAnsi="宋体" w:eastAsia="宋体" w:cs="宋体"/>
        </w:rPr>
      </w:pPr>
    </w:p>
    <w:p/>
    <w:p>
      <w:pPr>
        <w:snapToGrid w:val="0"/>
        <w:spacing w:afterLines="100" w:line="520" w:lineRule="exact"/>
        <w:jc w:val="center"/>
        <w:rPr>
          <w:rFonts w:ascii="宋体" w:hAnsi="宋体" w:eastAsia="宋体" w:cs="宋体"/>
          <w:b/>
          <w:sz w:val="28"/>
          <w:szCs w:val="28"/>
        </w:rPr>
      </w:pPr>
      <w:r>
        <w:rPr>
          <w:rFonts w:hint="eastAsia" w:ascii="宋体" w:hAnsi="宋体" w:eastAsia="宋体"/>
          <w:b/>
          <w:sz w:val="28"/>
          <w:szCs w:val="28"/>
        </w:rPr>
        <w:br w:type="page"/>
      </w:r>
      <w:r>
        <w:rPr>
          <w:rFonts w:hint="eastAsia" w:ascii="宋体" w:hAnsi="宋体" w:eastAsia="宋体" w:cs="宋体"/>
          <w:b/>
          <w:sz w:val="28"/>
          <w:szCs w:val="28"/>
        </w:rPr>
        <w:t>磋商响应报价总表</w:t>
      </w:r>
    </w:p>
    <w:p>
      <w:pPr>
        <w:kinsoku w:val="0"/>
        <w:topLinePunct/>
        <w:snapToGrid w:val="0"/>
        <w:spacing w:line="520" w:lineRule="exact"/>
        <w:rPr>
          <w:rFonts w:ascii="方正仿宋_GBK" w:eastAsia="宋体"/>
          <w:b/>
          <w:sz w:val="24"/>
          <w:szCs w:val="24"/>
        </w:rPr>
      </w:pPr>
      <w:r>
        <w:rPr>
          <w:rFonts w:hint="eastAsia" w:ascii="宋体" w:hAnsi="宋体" w:eastAsia="宋体" w:cs="宋体"/>
          <w:sz w:val="24"/>
          <w:szCs w:val="24"/>
        </w:rPr>
        <w:t>项目名称</w:t>
      </w:r>
      <w:r>
        <w:rPr>
          <w:rFonts w:ascii="方正仿宋_GBK" w:eastAsia="宋体"/>
          <w:b/>
          <w:sz w:val="24"/>
          <w:szCs w:val="24"/>
        </w:rPr>
        <w:t>：</w:t>
      </w:r>
    </w:p>
    <w:tbl>
      <w:tblPr>
        <w:tblStyle w:val="58"/>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80"/>
        <w:gridCol w:w="5088"/>
        <w:gridCol w:w="23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16" w:hRule="atLeast"/>
        </w:trPr>
        <w:tc>
          <w:tcPr>
            <w:tcW w:w="1208"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
                <w:sz w:val="24"/>
                <w:szCs w:val="24"/>
              </w:rPr>
            </w:pPr>
            <w:r>
              <w:rPr>
                <w:rFonts w:hint="eastAsia" w:ascii="方正仿宋_GBK" w:eastAsia="宋体"/>
                <w:b/>
                <w:sz w:val="24"/>
                <w:szCs w:val="24"/>
              </w:rPr>
              <w:t>报价轮次</w:t>
            </w:r>
          </w:p>
        </w:tc>
        <w:tc>
          <w:tcPr>
            <w:tcW w:w="2582"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
                <w:sz w:val="24"/>
                <w:szCs w:val="24"/>
              </w:rPr>
            </w:pPr>
            <w:r>
              <w:rPr>
                <w:rFonts w:hint="eastAsia" w:ascii="方正仿宋_GBK" w:eastAsia="宋体"/>
                <w:b/>
                <w:sz w:val="24"/>
                <w:szCs w:val="24"/>
              </w:rPr>
              <w:t>磋商总报价</w:t>
            </w:r>
          </w:p>
        </w:tc>
        <w:tc>
          <w:tcPr>
            <w:tcW w:w="1209"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
                <w:sz w:val="24"/>
                <w:szCs w:val="24"/>
              </w:rPr>
            </w:pPr>
            <w:r>
              <w:rPr>
                <w:rFonts w:hint="eastAsia" w:ascii="方正仿宋_GBK"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1208"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Cs/>
                <w:sz w:val="24"/>
                <w:szCs w:val="24"/>
              </w:rPr>
            </w:pPr>
            <w:r>
              <w:rPr>
                <w:rFonts w:hint="eastAsia" w:ascii="方正仿宋_GBK" w:eastAsia="宋体"/>
                <w:bCs/>
                <w:sz w:val="24"/>
                <w:szCs w:val="24"/>
              </w:rPr>
              <w:t>首轮</w:t>
            </w:r>
            <w:r>
              <w:rPr>
                <w:rFonts w:ascii="方正仿宋_GBK" w:eastAsia="宋体"/>
                <w:bCs/>
                <w:sz w:val="24"/>
                <w:szCs w:val="24"/>
              </w:rPr>
              <w:t>报价</w:t>
            </w:r>
          </w:p>
        </w:tc>
        <w:tc>
          <w:tcPr>
            <w:tcW w:w="2582"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eastAsia="宋体"/>
                <w:sz w:val="24"/>
                <w:szCs w:val="24"/>
              </w:rPr>
            </w:pPr>
            <w:r>
              <w:rPr>
                <w:rFonts w:hint="eastAsia" w:ascii="方正仿宋_GBK" w:eastAsia="宋体"/>
                <w:sz w:val="24"/>
                <w:szCs w:val="24"/>
              </w:rPr>
              <w:t>大写（人民币）：</w:t>
            </w:r>
          </w:p>
          <w:p>
            <w:pPr>
              <w:kinsoku w:val="0"/>
              <w:topLinePunct/>
              <w:snapToGrid w:val="0"/>
              <w:spacing w:line="520" w:lineRule="exact"/>
              <w:rPr>
                <w:rFonts w:ascii="方正仿宋_GBK" w:eastAsia="宋体"/>
                <w:sz w:val="24"/>
                <w:szCs w:val="24"/>
              </w:rPr>
            </w:pPr>
            <w:r>
              <w:rPr>
                <w:rFonts w:hint="eastAsia" w:ascii="方正仿宋_GBK" w:eastAsia="宋体"/>
                <w:sz w:val="24"/>
                <w:szCs w:val="24"/>
              </w:rPr>
              <w:t>小写（</w:t>
            </w:r>
            <w:r>
              <w:rPr>
                <w:rFonts w:ascii="Arial" w:hAnsi="Arial" w:eastAsia="宋体" w:cs="Arial"/>
                <w:sz w:val="24"/>
                <w:szCs w:val="24"/>
              </w:rPr>
              <w:t>¥</w:t>
            </w:r>
            <w:r>
              <w:rPr>
                <w:rFonts w:hint="eastAsia" w:ascii="方正仿宋_GBK" w:eastAsia="宋体"/>
                <w:sz w:val="24"/>
                <w:szCs w:val="24"/>
              </w:rPr>
              <w:t>）：</w:t>
            </w:r>
          </w:p>
        </w:tc>
        <w:tc>
          <w:tcPr>
            <w:tcW w:w="1209"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sz w:val="24"/>
                <w:szCs w:val="24"/>
              </w:rPr>
            </w:pPr>
          </w:p>
        </w:tc>
      </w:tr>
    </w:tbl>
    <w:p>
      <w:pPr>
        <w:kinsoku w:val="0"/>
        <w:topLinePunct/>
        <w:snapToGrid w:val="0"/>
        <w:spacing w:line="520" w:lineRule="exact"/>
        <w:rPr>
          <w:rFonts w:ascii="宋体" w:hAnsi="宋体" w:eastAsia="宋体" w:cs="宋体"/>
          <w:sz w:val="24"/>
          <w:szCs w:val="24"/>
        </w:rPr>
      </w:pP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 xml:space="preserve">投标供应商：（盖章）             </w:t>
      </w: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法定代表人或被授权人（签字或盖章）：</w:t>
      </w: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日期：</w:t>
      </w:r>
    </w:p>
    <w:p>
      <w:pPr>
        <w:kinsoku w:val="0"/>
        <w:topLinePunct/>
        <w:snapToGrid w:val="0"/>
        <w:spacing w:line="520" w:lineRule="exact"/>
        <w:rPr>
          <w:rFonts w:ascii="方正仿宋_GBK" w:eastAsia="宋体"/>
          <w:b/>
          <w:sz w:val="24"/>
          <w:szCs w:val="24"/>
        </w:rPr>
      </w:pPr>
    </w:p>
    <w:p>
      <w:pPr>
        <w:pStyle w:val="57"/>
        <w:ind w:left="520" w:firstLine="482"/>
        <w:rPr>
          <w:rFonts w:ascii="方正仿宋_GBK"/>
          <w:b/>
          <w:sz w:val="24"/>
        </w:rPr>
      </w:pPr>
    </w:p>
    <w:p>
      <w:pPr>
        <w:kinsoku w:val="0"/>
        <w:topLinePunct/>
        <w:snapToGrid w:val="0"/>
        <w:spacing w:line="520" w:lineRule="exact"/>
        <w:rPr>
          <w:rFonts w:ascii="方正仿宋_GBK" w:eastAsia="宋体"/>
          <w:b/>
          <w:sz w:val="24"/>
          <w:szCs w:val="24"/>
        </w:rPr>
      </w:pPr>
      <w:r>
        <w:rPr>
          <w:rFonts w:hint="eastAsia" w:ascii="方正仿宋_GBK" w:eastAsia="宋体"/>
          <w:b/>
          <w:sz w:val="24"/>
          <w:szCs w:val="24"/>
        </w:rPr>
        <w:t>注：</w:t>
      </w:r>
    </w:p>
    <w:p>
      <w:pPr>
        <w:numPr>
          <w:ilvl w:val="0"/>
          <w:numId w:val="2"/>
        </w:numPr>
        <w:kinsoku w:val="0"/>
        <w:topLinePunct/>
        <w:snapToGrid w:val="0"/>
        <w:spacing w:line="360" w:lineRule="auto"/>
        <w:rPr>
          <w:rFonts w:ascii="方正仿宋_GBK" w:eastAsia="宋体"/>
          <w:sz w:val="24"/>
          <w:szCs w:val="24"/>
        </w:rPr>
      </w:pPr>
      <w:r>
        <w:rPr>
          <w:rFonts w:ascii="方正仿宋_GBK" w:eastAsia="宋体"/>
          <w:sz w:val="24"/>
          <w:szCs w:val="24"/>
        </w:rPr>
        <w:t>本表</w:t>
      </w:r>
      <w:r>
        <w:rPr>
          <w:rFonts w:hint="eastAsia" w:ascii="方正仿宋_GBK" w:eastAsia="宋体"/>
          <w:sz w:val="24"/>
          <w:szCs w:val="24"/>
        </w:rPr>
        <w:t>为格式表</w:t>
      </w:r>
      <w:r>
        <w:rPr>
          <w:rFonts w:ascii="方正仿宋_GBK" w:eastAsia="宋体"/>
          <w:sz w:val="24"/>
          <w:szCs w:val="24"/>
        </w:rPr>
        <w:t>，</w:t>
      </w:r>
      <w:r>
        <w:rPr>
          <w:rFonts w:hint="eastAsia" w:ascii="方正仿宋_GBK" w:eastAsia="宋体"/>
          <w:sz w:val="24"/>
          <w:szCs w:val="24"/>
        </w:rPr>
        <w:t>不得自行改动，必须提供</w:t>
      </w:r>
      <w:r>
        <w:rPr>
          <w:rFonts w:ascii="方正仿宋_GBK" w:eastAsia="宋体"/>
          <w:sz w:val="24"/>
          <w:szCs w:val="24"/>
        </w:rPr>
        <w:t>。</w:t>
      </w:r>
    </w:p>
    <w:p>
      <w:pPr>
        <w:numPr>
          <w:ilvl w:val="0"/>
          <w:numId w:val="2"/>
        </w:num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第二次报价、第三次报价（如有）将在开标现场填写，报价响应文件密封提交时只需填写“首轮报价”。</w:t>
      </w:r>
      <w:r>
        <w:rPr>
          <w:rFonts w:hint="eastAsia" w:ascii="宋体" w:hAnsi="宋体" w:eastAsia="宋体" w:cs="宋体"/>
          <w:b/>
          <w:bCs/>
          <w:sz w:val="24"/>
          <w:szCs w:val="24"/>
        </w:rPr>
        <w:t>且第二次、第三次报价时，磋商响应报价明细表按同比例下浮。</w:t>
      </w:r>
    </w:p>
    <w:p>
      <w:pPr>
        <w:rPr>
          <w:rFonts w:ascii="宋体" w:hAnsi="宋体" w:eastAsia="宋体" w:cs="宋体"/>
          <w:sz w:val="24"/>
          <w:szCs w:val="24"/>
        </w:rPr>
      </w:pPr>
      <w:r>
        <w:rPr>
          <w:rFonts w:hint="eastAsia" w:ascii="宋体" w:hAnsi="宋体" w:eastAsia="宋体" w:cs="宋体"/>
          <w:b/>
          <w:bCs/>
          <w:sz w:val="24"/>
          <w:szCs w:val="24"/>
        </w:rPr>
        <w:br w:type="page"/>
      </w:r>
    </w:p>
    <w:p>
      <w:pPr>
        <w:pStyle w:val="57"/>
        <w:ind w:left="0" w:leftChars="0" w:firstLine="0" w:firstLineChars="0"/>
        <w:jc w:val="center"/>
        <w:rPr>
          <w:rFonts w:ascii="宋体" w:hAnsi="宋体" w:cs="宋体"/>
          <w:b/>
          <w:szCs w:val="28"/>
        </w:rPr>
      </w:pPr>
      <w:r>
        <w:rPr>
          <w:rFonts w:hint="eastAsia" w:ascii="宋体" w:hAnsi="宋体" w:cs="宋体"/>
          <w:b/>
          <w:szCs w:val="28"/>
        </w:rPr>
        <w:t>磋商响应报价明细表</w:t>
      </w:r>
    </w:p>
    <w:p>
      <w:pPr>
        <w:kinsoku w:val="0"/>
        <w:topLinePunct/>
        <w:snapToGrid w:val="0"/>
        <w:spacing w:line="520" w:lineRule="exact"/>
        <w:rPr>
          <w:rFonts w:ascii="宋体" w:hAnsi="宋体" w:cs="宋体"/>
          <w:b/>
          <w:sz w:val="28"/>
          <w:szCs w:val="28"/>
        </w:rPr>
      </w:pPr>
      <w:r>
        <w:rPr>
          <w:rFonts w:hint="eastAsia" w:ascii="宋体" w:hAnsi="宋体" w:eastAsia="宋体" w:cs="宋体"/>
          <w:sz w:val="24"/>
          <w:szCs w:val="24"/>
        </w:rPr>
        <w:t>项目名称</w:t>
      </w:r>
      <w:r>
        <w:rPr>
          <w:rFonts w:ascii="方正仿宋_GBK" w:eastAsia="宋体"/>
          <w:b/>
          <w:sz w:val="24"/>
          <w:szCs w:val="24"/>
        </w:rPr>
        <w:t>：</w:t>
      </w:r>
    </w:p>
    <w:tbl>
      <w:tblPr>
        <w:tblStyle w:val="58"/>
        <w:tblW w:w="8984" w:type="dxa"/>
        <w:tblInd w:w="91" w:type="dxa"/>
        <w:tblLayout w:type="fixed"/>
        <w:tblCellMar>
          <w:top w:w="0" w:type="dxa"/>
          <w:left w:w="108" w:type="dxa"/>
          <w:bottom w:w="0" w:type="dxa"/>
          <w:right w:w="108" w:type="dxa"/>
        </w:tblCellMar>
      </w:tblPr>
      <w:tblGrid>
        <w:gridCol w:w="1149"/>
        <w:gridCol w:w="3515"/>
        <w:gridCol w:w="2848"/>
        <w:gridCol w:w="1472"/>
      </w:tblGrid>
      <w:tr>
        <w:tblPrEx>
          <w:tblCellMar>
            <w:top w:w="0" w:type="dxa"/>
            <w:left w:w="108" w:type="dxa"/>
            <w:bottom w:w="0" w:type="dxa"/>
            <w:right w:w="108" w:type="dxa"/>
          </w:tblCellMar>
        </w:tblPrEx>
        <w:trPr>
          <w:trHeight w:val="567"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351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分项名称</w:t>
            </w:r>
          </w:p>
        </w:tc>
        <w:tc>
          <w:tcPr>
            <w:tcW w:w="284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金额（元）</w:t>
            </w:r>
          </w:p>
        </w:tc>
        <w:tc>
          <w:tcPr>
            <w:tcW w:w="147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总价</w:t>
            </w:r>
          </w:p>
        </w:tc>
        <w:tc>
          <w:tcPr>
            <w:tcW w:w="7835" w:type="dxa"/>
            <w:gridSpan w:val="3"/>
            <w:tcBorders>
              <w:top w:val="nil"/>
              <w:left w:val="nil"/>
              <w:bottom w:val="single" w:color="auto" w:sz="4" w:space="0"/>
              <w:right w:val="single" w:color="auto" w:sz="4" w:space="0"/>
            </w:tcBorders>
            <w:vAlign w:val="center"/>
          </w:tcPr>
          <w:p>
            <w:pPr>
              <w:rPr>
                <w:rFonts w:ascii="宋体" w:hAnsi="宋体" w:eastAsia="宋体" w:cs="宋体"/>
                <w:b/>
                <w:bCs/>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 xml:space="preserve">投标供应商：（盖章）             </w:t>
      </w: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法定代表人或被授权人（签字或盖章）：</w:t>
      </w:r>
    </w:p>
    <w:p>
      <w:pPr>
        <w:kinsoku w:val="0"/>
        <w:topLinePunct/>
        <w:snapToGrid w:val="0"/>
        <w:spacing w:line="520" w:lineRule="exact"/>
        <w:rPr>
          <w:rFonts w:ascii="宋体" w:hAnsi="宋体" w:eastAsia="宋体"/>
          <w:b/>
          <w:sz w:val="28"/>
          <w:szCs w:val="28"/>
        </w:rPr>
      </w:pPr>
      <w:r>
        <w:rPr>
          <w:rFonts w:hint="eastAsia" w:ascii="宋体" w:hAnsi="宋体" w:eastAsia="宋体" w:cs="宋体"/>
          <w:sz w:val="24"/>
          <w:szCs w:val="24"/>
        </w:rPr>
        <w:t>日期：</w:t>
      </w:r>
      <w:r>
        <w:rPr>
          <w:rFonts w:hint="eastAsia" w:ascii="宋体" w:hAnsi="宋体" w:eastAsia="宋体"/>
          <w:b/>
          <w:sz w:val="28"/>
          <w:szCs w:val="28"/>
        </w:rPr>
        <w:br w:type="page"/>
      </w:r>
    </w:p>
    <w:p>
      <w:pPr>
        <w:spacing w:afterLines="100"/>
        <w:jc w:val="center"/>
        <w:rPr>
          <w:rFonts w:ascii="宋体" w:hAnsi="宋体" w:eastAsia="宋体" w:cs="宋体"/>
          <w:sz w:val="24"/>
          <w:szCs w:val="24"/>
        </w:rPr>
      </w:pPr>
      <w:r>
        <w:rPr>
          <w:rFonts w:hint="eastAsia" w:ascii="宋体" w:hAnsi="宋体" w:eastAsia="宋体"/>
          <w:b/>
          <w:sz w:val="28"/>
          <w:szCs w:val="28"/>
        </w:rPr>
        <w:t>小型、微型企业声明函（工程、服务）</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 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 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pacing w:line="500" w:lineRule="exact"/>
        <w:ind w:right="1200" w:firstLine="480" w:firstLineChars="200"/>
        <w:jc w:val="right"/>
        <w:rPr>
          <w:rFonts w:ascii="宋体" w:hAnsi="宋体" w:eastAsia="宋体" w:cs="宋体"/>
          <w:sz w:val="24"/>
          <w:szCs w:val="24"/>
        </w:rPr>
      </w:pPr>
      <w:r>
        <w:rPr>
          <w:rFonts w:hint="eastAsia" w:ascii="宋体" w:hAnsi="宋体" w:eastAsia="宋体" w:cs="宋体"/>
          <w:sz w:val="24"/>
          <w:szCs w:val="24"/>
        </w:rPr>
        <w:t xml:space="preserve">企业名称（盖章）：                         </w:t>
      </w:r>
    </w:p>
    <w:p>
      <w:pPr>
        <w:spacing w:line="500" w:lineRule="exact"/>
        <w:ind w:right="960" w:firstLine="480" w:firstLineChars="200"/>
        <w:jc w:val="center"/>
        <w:rPr>
          <w:rFonts w:ascii="宋体" w:hAnsi="宋体" w:eastAsia="宋体" w:cs="宋体"/>
          <w:sz w:val="24"/>
          <w:szCs w:val="24"/>
        </w:rPr>
      </w:pPr>
      <w:r>
        <w:rPr>
          <w:rFonts w:hint="eastAsia" w:ascii="宋体" w:hAnsi="宋体" w:eastAsia="宋体" w:cs="宋体"/>
          <w:sz w:val="24"/>
          <w:szCs w:val="24"/>
        </w:rPr>
        <w:t xml:space="preserve">                                   日 期：</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（注：从业人员、营业收入、资产总额填报上一年度数据，无上一年度数据的新成立企业可不填报。）</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（备注：供应商如不提供上述声明函，价格将不做相应扣除）</w:t>
      </w:r>
    </w:p>
    <w:p>
      <w:pPr>
        <w:ind w:firstLine="480" w:firstLineChars="200"/>
        <w:rPr>
          <w:rFonts w:ascii="宋体" w:hAnsi="宋体" w:eastAsia="宋体" w:cs="宋体"/>
          <w:sz w:val="24"/>
          <w:szCs w:val="24"/>
        </w:rPr>
      </w:pPr>
    </w:p>
    <w:p>
      <w:pPr>
        <w:pStyle w:val="57"/>
        <w:ind w:left="520" w:firstLine="482"/>
        <w:rPr>
          <w:rFonts w:ascii="宋体" w:hAnsi="宋体" w:cs="宋体"/>
          <w:b/>
          <w:color w:val="000000"/>
          <w:sz w:val="24"/>
          <w:szCs w:val="24"/>
        </w:rPr>
      </w:pPr>
    </w:p>
    <w:p>
      <w:pPr>
        <w:spacing w:line="440" w:lineRule="exact"/>
        <w:rPr>
          <w:rFonts w:ascii="宋体" w:hAnsi="宋体" w:eastAsia="宋体" w:cs="宋体"/>
          <w:b/>
          <w:color w:val="000000"/>
          <w:sz w:val="24"/>
          <w:szCs w:val="24"/>
        </w:rPr>
      </w:pPr>
    </w:p>
    <w:p>
      <w:pPr>
        <w:spacing w:line="440" w:lineRule="exact"/>
        <w:jc w:val="center"/>
        <w:rPr>
          <w:rFonts w:ascii="宋体" w:hAnsi="宋体" w:eastAsia="宋体" w:cs="宋体"/>
          <w:b/>
          <w:sz w:val="24"/>
          <w:szCs w:val="24"/>
        </w:rPr>
      </w:pPr>
    </w:p>
    <w:p>
      <w:pPr>
        <w:rPr>
          <w:rFonts w:ascii="宋体" w:hAnsi="宋体" w:eastAsia="宋体"/>
          <w:b/>
          <w:sz w:val="28"/>
          <w:szCs w:val="28"/>
        </w:rPr>
      </w:pPr>
      <w:r>
        <w:rPr>
          <w:rFonts w:hint="eastAsia" w:ascii="宋体" w:hAnsi="宋体" w:eastAsia="宋体"/>
          <w:b/>
          <w:sz w:val="28"/>
          <w:szCs w:val="28"/>
        </w:rPr>
        <w:br w:type="page"/>
      </w:r>
    </w:p>
    <w:p>
      <w:pPr>
        <w:snapToGrid w:val="0"/>
        <w:spacing w:afterLines="100" w:line="520" w:lineRule="exact"/>
        <w:jc w:val="center"/>
        <w:rPr>
          <w:rFonts w:ascii="宋体" w:hAnsi="宋体" w:eastAsia="宋体" w:cs="宋体"/>
          <w:spacing w:val="6"/>
          <w:sz w:val="24"/>
          <w:szCs w:val="24"/>
        </w:rPr>
      </w:pPr>
      <w:r>
        <w:rPr>
          <w:rFonts w:hint="eastAsia" w:ascii="宋体" w:hAnsi="宋体" w:eastAsia="宋体"/>
          <w:b/>
          <w:sz w:val="28"/>
          <w:szCs w:val="28"/>
        </w:rPr>
        <w:t>残疾人福利性单位声明函</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本单位在本次政府采购活动中提供的残疾人福利单位产品报价合计为人民币（大写）圆整（￥：     ）。</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（备注：1、供应商如不提供此声明函，价格将不做相应扣除。2、成交供应商为残疾人福利单位的，此声明函将随成交结果同时公告，接受社会监督）</w:t>
      </w:r>
    </w:p>
    <w:p>
      <w:pPr>
        <w:spacing w:line="440" w:lineRule="exact"/>
        <w:ind w:firstLine="504" w:firstLineChars="200"/>
        <w:rPr>
          <w:rFonts w:ascii="宋体" w:hAnsi="宋体" w:eastAsia="宋体" w:cs="宋体"/>
          <w:spacing w:val="6"/>
          <w:sz w:val="24"/>
          <w:szCs w:val="24"/>
        </w:rPr>
      </w:pPr>
    </w:p>
    <w:p>
      <w:pPr>
        <w:tabs>
          <w:tab w:val="left" w:pos="4860"/>
        </w:tabs>
        <w:spacing w:line="440" w:lineRule="exact"/>
        <w:ind w:right="1560" w:firstLine="480" w:firstLineChars="200"/>
        <w:jc w:val="center"/>
        <w:rPr>
          <w:rFonts w:ascii="宋体" w:hAnsi="宋体" w:eastAsia="宋体" w:cs="宋体"/>
          <w:sz w:val="24"/>
          <w:szCs w:val="24"/>
        </w:rPr>
      </w:pPr>
      <w:r>
        <w:rPr>
          <w:rFonts w:hint="eastAsia" w:ascii="宋体" w:hAnsi="宋体" w:eastAsia="宋体" w:cs="宋体"/>
          <w:sz w:val="24"/>
          <w:szCs w:val="24"/>
        </w:rPr>
        <w:t xml:space="preserve">                                       供应商全称（盖章）：</w:t>
      </w:r>
    </w:p>
    <w:p>
      <w:pPr>
        <w:tabs>
          <w:tab w:val="left" w:pos="4860"/>
        </w:tabs>
        <w:spacing w:line="440" w:lineRule="exact"/>
        <w:ind w:right="1560" w:firstLine="480" w:firstLineChars="200"/>
        <w:jc w:val="center"/>
        <w:rPr>
          <w:rFonts w:ascii="宋体" w:hAnsi="宋体" w:eastAsia="宋体" w:cs="宋体"/>
          <w:sz w:val="24"/>
          <w:szCs w:val="24"/>
        </w:rPr>
      </w:pPr>
      <w:r>
        <w:rPr>
          <w:rFonts w:hint="eastAsia" w:ascii="宋体" w:hAnsi="宋体" w:eastAsia="宋体" w:cs="宋体"/>
          <w:sz w:val="24"/>
          <w:szCs w:val="24"/>
        </w:rPr>
        <w:t xml:space="preserve">                           日  期：</w:t>
      </w:r>
    </w:p>
    <w:p>
      <w:pPr>
        <w:pStyle w:val="22"/>
        <w:rPr>
          <w:rFonts w:ascii="宋体" w:hAnsi="宋体" w:eastAsia="宋体" w:cs="宋体"/>
          <w:sz w:val="24"/>
          <w:szCs w:val="24"/>
        </w:rPr>
      </w:pPr>
    </w:p>
    <w:p>
      <w:pPr>
        <w:rPr>
          <w:rFonts w:ascii="宋体" w:hAnsi="宋体" w:eastAsia="宋体" w:cs="宋体"/>
          <w:sz w:val="28"/>
          <w:szCs w:val="28"/>
        </w:rPr>
      </w:pPr>
    </w:p>
    <w:p>
      <w:pPr>
        <w:kinsoku w:val="0"/>
        <w:topLinePunct/>
        <w:snapToGrid w:val="0"/>
        <w:spacing w:line="360" w:lineRule="auto"/>
        <w:jc w:val="left"/>
        <w:rPr>
          <w:rFonts w:ascii="宋体" w:hAnsi="宋体" w:eastAsia="宋体" w:cs="宋体"/>
          <w:sz w:val="28"/>
          <w:szCs w:val="28"/>
        </w:rPr>
      </w:pPr>
    </w:p>
    <w:p>
      <w:pPr>
        <w:snapToGrid w:val="0"/>
        <w:spacing w:line="360" w:lineRule="auto"/>
        <w:outlineLvl w:val="3"/>
        <w:rPr>
          <w:rFonts w:asciiTheme="majorEastAsia" w:hAnsiTheme="majorEastAsia" w:eastAsiaTheme="majorEastAsia" w:cstheme="minorEastAsia"/>
          <w:b/>
          <w:bCs/>
          <w:sz w:val="24"/>
          <w:szCs w:val="24"/>
        </w:rPr>
      </w:pPr>
    </w:p>
    <w:sectPr>
      <w:footerReference r:id="rId8" w:type="default"/>
      <w:pgSz w:w="11906" w:h="16838"/>
      <w:pgMar w:top="1418" w:right="851" w:bottom="709" w:left="1418" w:header="851" w:footer="449" w:gutter="0"/>
      <w:pgNumType w:start="3"/>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enlo">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180"/>
      <w:jc w:val="center"/>
    </w:pPr>
    <w:r>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9LmNM0BAACoAwAADgAAAGRycy9lMm9Eb2MueG1srVPNjtMwEL4j8Q6W&#10;7zRph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FNWHFmhaEXv3z/dvnx6/LzK3ud&#10;9Ok9VlT24KkwDnduoNo5jhRMtIc2mPQlQozypO75qi4Mkcl0ab1ar0tKScrNDuEXj9d9wPgWnGHJ&#10;qHmg58uqitN7jGPpXJK6WXevtM5PqO1fAcIcI5B3YLqdmIwTJysO+2Git3fNmdj1tAc1t7T2nOl3&#10;lmROKzMbYTb2s3H0QR06GnSZp0R/e4w0Up40dRhhiWFy6AEz12nZ0ob86eeqxx9s+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9LmNM0BAACoAwAADgAAAAAAAAABACAAAAAeAQAAZHJzL2Uy&#10;b0RvYy54bWxQSwUGAAAAAAYABgBZAQAAXQUAAAAA&#10;">
          <v:path/>
          <v:fill on="f" focussize="0,0"/>
          <v:stroke on="f" joinstyle="miter"/>
          <v:imagedata o:title=""/>
          <o:lock v:ext="edit"/>
          <v:textbox inset="0mm,0mm,0mm,0mm" style="mso-fit-shape-to-text:t;">
            <w:txbxContent>
              <w:p>
                <w:pPr>
                  <w:pStyle w:val="35"/>
                </w:pPr>
                <w:r>
                  <w:rPr>
                    <w:rFonts w:hint="eastAsia"/>
                  </w:rPr>
                  <w:t>第</w:t>
                </w:r>
                <w:r>
                  <w:fldChar w:fldCharType="begin"/>
                </w:r>
                <w:r>
                  <w:instrText xml:space="preserve"> PAGE  \* MERGEFORMAT </w:instrText>
                </w:r>
                <w:r>
                  <w:fldChar w:fldCharType="separate"/>
                </w:r>
                <w:r>
                  <w:t>4</w:t>
                </w:r>
                <w:r>
                  <w:fldChar w:fldCharType="end"/>
                </w:r>
                <w:r>
                  <w:rPr>
                    <w:rFonts w:hint="eastAsia"/>
                  </w:rPr>
                  <w:t>页共</w:t>
                </w:r>
                <w:r>
                  <w:fldChar w:fldCharType="begin"/>
                </w:r>
                <w:r>
                  <w:instrText xml:space="preserve"> NUMPAGES  \* MERGEFORMAT </w:instrText>
                </w:r>
                <w:r>
                  <w:fldChar w:fldCharType="separate"/>
                </w:r>
                <w:r>
                  <w:t>34</w:t>
                </w:r>
                <w:r>
                  <w:fldChar w:fldCharType="end"/>
                </w:r>
                <w:r>
                  <w:rPr>
                    <w:rFonts w:hint="eastAsia"/>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4"/>
      <w:jc w:val="center"/>
    </w:pPr>
    <w:r>
      <w:pict>
        <v:shape id="_x0000_s1029" o:spid="_x0000_s102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wahs4BAACo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e0CTecOWHpxS8/vl9+/r78+sZu&#10;kj69x4rK7j0VxuEtDFQ7x5GCifbQBpu+RIhRntQ9X9VVQ2QyXVqv1uuSUpJys0P4xcN1HzC+U2BZ&#10;Mmoe6PmyquL0AeNYOpekbg7utDH5CY37K0CYY0TlHZhuJybjxMmKw36Y6O2hORO7nvag5o7WnjPz&#10;3pHMaWVmI8zGfjaOPuhDR4Mu85To3xwjjZQnTR1GWGKYHHrAzHVatrQhj/1c9fCDb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pcGobOAQAAqAMAAA4AAAAAAAAAAQAgAAAAHgEAAGRycy9l&#10;Mm9Eb2MueG1sUEsFBgAAAAAGAAYAWQEAAF4FAAAAAA==&#10;">
          <v:path/>
          <v:fill on="f" focussize="0,0"/>
          <v:stroke on="f" joinstyle="miter"/>
          <v:imagedata o:title=""/>
          <o:lock v:ext="edit"/>
          <v:textbox inset="0mm,0mm,0mm,0mm" style="mso-fit-shape-to-text:t;">
            <w:txbxContent>
              <w:p>
                <w:pPr>
                  <w:pStyle w:val="35"/>
                </w:pPr>
                <w:r>
                  <w:rPr>
                    <w:rFonts w:hint="eastAsia"/>
                  </w:rPr>
                  <w:t>第</w:t>
                </w:r>
                <w:r>
                  <w:fldChar w:fldCharType="begin"/>
                </w:r>
                <w:r>
                  <w:instrText xml:space="preserve"> PAGE  \* MERGEFORMAT </w:instrText>
                </w:r>
                <w:r>
                  <w:fldChar w:fldCharType="separate"/>
                </w:r>
                <w:r>
                  <w:t>10</w:t>
                </w:r>
                <w:r>
                  <w:fldChar w:fldCharType="end"/>
                </w:r>
                <w:r>
                  <w:rPr>
                    <w:rFonts w:hint="eastAsia"/>
                  </w:rPr>
                  <w:t>页共</w:t>
                </w:r>
                <w:r>
                  <w:fldChar w:fldCharType="begin"/>
                </w:r>
                <w:r>
                  <w:instrText xml:space="preserve"> NUMPAGES  \* MERGEFORMAT </w:instrText>
                </w:r>
                <w:r>
                  <w:fldChar w:fldCharType="separate"/>
                </w:r>
                <w:r>
                  <w:t>34</w:t>
                </w:r>
                <w:r>
                  <w:fldChar w:fldCharType="end"/>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25CBE"/>
    <w:multiLevelType w:val="singleLevel"/>
    <w:tmpl w:val="21125CBE"/>
    <w:lvl w:ilvl="0" w:tentative="0">
      <w:start w:val="1"/>
      <w:numFmt w:val="decimal"/>
      <w:suff w:val="nothing"/>
      <w:lvlText w:val="（%1）"/>
      <w:lvlJc w:val="left"/>
    </w:lvl>
  </w:abstractNum>
  <w:abstractNum w:abstractNumId="1">
    <w:nsid w:val="7A3633E2"/>
    <w:multiLevelType w:val="multilevel"/>
    <w:tmpl w:val="7A3633E2"/>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7"/>
      <w:lvlText w:val="%1.%2.%3.%4.%5"/>
      <w:lvlJc w:val="left"/>
      <w:pPr>
        <w:tabs>
          <w:tab w:val="left" w:pos="1008"/>
        </w:tabs>
        <w:ind w:left="1008" w:hanging="1008"/>
      </w:pPr>
      <w:rPr>
        <w:rFonts w:cs="Times New Roman"/>
      </w:rPr>
    </w:lvl>
    <w:lvl w:ilvl="5" w:tentative="0">
      <w:start w:val="1"/>
      <w:numFmt w:val="decimal"/>
      <w:pStyle w:val="9"/>
      <w:lvlText w:val="%1.%2.%3.%4.%5.%6"/>
      <w:lvlJc w:val="left"/>
      <w:pPr>
        <w:tabs>
          <w:tab w:val="left" w:pos="1152"/>
        </w:tabs>
        <w:ind w:left="1152" w:hanging="1152"/>
      </w:pPr>
      <w:rPr>
        <w:rFonts w:cs="Times New Roman"/>
      </w:rPr>
    </w:lvl>
    <w:lvl w:ilvl="6" w:tentative="0">
      <w:start w:val="1"/>
      <w:numFmt w:val="decimal"/>
      <w:pStyle w:val="10"/>
      <w:lvlText w:val="%1.%2.%3.%4.%5.%6.%7"/>
      <w:lvlJc w:val="left"/>
      <w:pPr>
        <w:tabs>
          <w:tab w:val="left" w:pos="1296"/>
        </w:tabs>
        <w:ind w:left="1296" w:hanging="1296"/>
      </w:pPr>
      <w:rPr>
        <w:rFonts w:cs="Times New Roman"/>
      </w:rPr>
    </w:lvl>
    <w:lvl w:ilvl="7" w:tentative="0">
      <w:start w:val="1"/>
      <w:numFmt w:val="decimal"/>
      <w:pStyle w:val="11"/>
      <w:lvlText w:val="%1.%2.%3.%4.%5.%6.%7.%8"/>
      <w:lvlJc w:val="left"/>
      <w:pPr>
        <w:tabs>
          <w:tab w:val="left" w:pos="1440"/>
        </w:tabs>
        <w:ind w:left="1440" w:hanging="1440"/>
      </w:pPr>
      <w:rPr>
        <w:rFonts w:cs="Times New Roman"/>
      </w:rPr>
    </w:lvl>
    <w:lvl w:ilvl="8" w:tentative="0">
      <w:start w:val="1"/>
      <w:numFmt w:val="decimal"/>
      <w:pStyle w:val="12"/>
      <w:lvlText w:val="%1.%2.%3.%4.%5.%6.%7.%8.%9"/>
      <w:lvlJc w:val="left"/>
      <w:pPr>
        <w:tabs>
          <w:tab w:val="left" w:pos="1584"/>
        </w:tabs>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19"/>
  <w:drawingGridVerticalSpacing w:val="193"/>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18D1"/>
    <w:rsid w:val="0000455F"/>
    <w:rsid w:val="000059DE"/>
    <w:rsid w:val="000065D1"/>
    <w:rsid w:val="00006986"/>
    <w:rsid w:val="0001043F"/>
    <w:rsid w:val="0001131A"/>
    <w:rsid w:val="000120DE"/>
    <w:rsid w:val="00013405"/>
    <w:rsid w:val="00016408"/>
    <w:rsid w:val="00021D1A"/>
    <w:rsid w:val="000232CD"/>
    <w:rsid w:val="00026332"/>
    <w:rsid w:val="0002688A"/>
    <w:rsid w:val="00027277"/>
    <w:rsid w:val="00030AED"/>
    <w:rsid w:val="00031A6A"/>
    <w:rsid w:val="000375E7"/>
    <w:rsid w:val="0004090E"/>
    <w:rsid w:val="00043D3D"/>
    <w:rsid w:val="00044D32"/>
    <w:rsid w:val="00045CB3"/>
    <w:rsid w:val="0005183F"/>
    <w:rsid w:val="0005188F"/>
    <w:rsid w:val="000535F8"/>
    <w:rsid w:val="00054EA7"/>
    <w:rsid w:val="00055B1C"/>
    <w:rsid w:val="00060A13"/>
    <w:rsid w:val="000612D5"/>
    <w:rsid w:val="00062F5C"/>
    <w:rsid w:val="00063331"/>
    <w:rsid w:val="00066956"/>
    <w:rsid w:val="00070471"/>
    <w:rsid w:val="00072965"/>
    <w:rsid w:val="00072DD3"/>
    <w:rsid w:val="00072FA6"/>
    <w:rsid w:val="000734A8"/>
    <w:rsid w:val="00073733"/>
    <w:rsid w:val="00074574"/>
    <w:rsid w:val="00074937"/>
    <w:rsid w:val="000751EC"/>
    <w:rsid w:val="000803B7"/>
    <w:rsid w:val="00080695"/>
    <w:rsid w:val="00080F94"/>
    <w:rsid w:val="00081FEB"/>
    <w:rsid w:val="00082795"/>
    <w:rsid w:val="00082C11"/>
    <w:rsid w:val="00084C18"/>
    <w:rsid w:val="00085192"/>
    <w:rsid w:val="00087F0D"/>
    <w:rsid w:val="00093BED"/>
    <w:rsid w:val="00097AED"/>
    <w:rsid w:val="000A02C8"/>
    <w:rsid w:val="000A2566"/>
    <w:rsid w:val="000A2781"/>
    <w:rsid w:val="000A5DF9"/>
    <w:rsid w:val="000B2CAE"/>
    <w:rsid w:val="000B3F2B"/>
    <w:rsid w:val="000B4100"/>
    <w:rsid w:val="000B61D8"/>
    <w:rsid w:val="000C1716"/>
    <w:rsid w:val="000C2018"/>
    <w:rsid w:val="000C6205"/>
    <w:rsid w:val="000C7A29"/>
    <w:rsid w:val="000D07AE"/>
    <w:rsid w:val="000D2520"/>
    <w:rsid w:val="000D425D"/>
    <w:rsid w:val="000D5D52"/>
    <w:rsid w:val="000E0699"/>
    <w:rsid w:val="000E3676"/>
    <w:rsid w:val="000E4EE5"/>
    <w:rsid w:val="000F0A06"/>
    <w:rsid w:val="000F0D81"/>
    <w:rsid w:val="000F0F3A"/>
    <w:rsid w:val="000F1E7F"/>
    <w:rsid w:val="000F5798"/>
    <w:rsid w:val="00101851"/>
    <w:rsid w:val="00104C38"/>
    <w:rsid w:val="001058BE"/>
    <w:rsid w:val="001060A0"/>
    <w:rsid w:val="00115087"/>
    <w:rsid w:val="001208A1"/>
    <w:rsid w:val="00121064"/>
    <w:rsid w:val="0012234F"/>
    <w:rsid w:val="00126373"/>
    <w:rsid w:val="0013074D"/>
    <w:rsid w:val="0013129B"/>
    <w:rsid w:val="00133F59"/>
    <w:rsid w:val="00133F64"/>
    <w:rsid w:val="00134926"/>
    <w:rsid w:val="00134A4A"/>
    <w:rsid w:val="001358C7"/>
    <w:rsid w:val="0013622E"/>
    <w:rsid w:val="00136918"/>
    <w:rsid w:val="00137CDF"/>
    <w:rsid w:val="001405AB"/>
    <w:rsid w:val="00140F98"/>
    <w:rsid w:val="001415FA"/>
    <w:rsid w:val="0014761F"/>
    <w:rsid w:val="001501CD"/>
    <w:rsid w:val="001523D0"/>
    <w:rsid w:val="00152FC8"/>
    <w:rsid w:val="0015415E"/>
    <w:rsid w:val="00156462"/>
    <w:rsid w:val="001602A0"/>
    <w:rsid w:val="0016141A"/>
    <w:rsid w:val="00162476"/>
    <w:rsid w:val="0016331B"/>
    <w:rsid w:val="00165311"/>
    <w:rsid w:val="001672ED"/>
    <w:rsid w:val="00170FB0"/>
    <w:rsid w:val="00172A27"/>
    <w:rsid w:val="001734DA"/>
    <w:rsid w:val="00174C07"/>
    <w:rsid w:val="00176285"/>
    <w:rsid w:val="00176730"/>
    <w:rsid w:val="0018042D"/>
    <w:rsid w:val="001808F7"/>
    <w:rsid w:val="00181EAF"/>
    <w:rsid w:val="00182E47"/>
    <w:rsid w:val="00183F16"/>
    <w:rsid w:val="00187FF6"/>
    <w:rsid w:val="00190723"/>
    <w:rsid w:val="00192340"/>
    <w:rsid w:val="00194A8E"/>
    <w:rsid w:val="001956FB"/>
    <w:rsid w:val="00196F09"/>
    <w:rsid w:val="001A20CA"/>
    <w:rsid w:val="001A2B16"/>
    <w:rsid w:val="001A6641"/>
    <w:rsid w:val="001B1B65"/>
    <w:rsid w:val="001B3C9B"/>
    <w:rsid w:val="001B7395"/>
    <w:rsid w:val="001C02B0"/>
    <w:rsid w:val="001C02E6"/>
    <w:rsid w:val="001C1688"/>
    <w:rsid w:val="001C3730"/>
    <w:rsid w:val="001C47C7"/>
    <w:rsid w:val="001C7824"/>
    <w:rsid w:val="001D0870"/>
    <w:rsid w:val="001D11BB"/>
    <w:rsid w:val="001D16BB"/>
    <w:rsid w:val="001D26D0"/>
    <w:rsid w:val="001D56D1"/>
    <w:rsid w:val="001D65C1"/>
    <w:rsid w:val="001D6D1C"/>
    <w:rsid w:val="001E1F91"/>
    <w:rsid w:val="001E67E6"/>
    <w:rsid w:val="001F11D9"/>
    <w:rsid w:val="001F6C79"/>
    <w:rsid w:val="001F6DC4"/>
    <w:rsid w:val="001F78E3"/>
    <w:rsid w:val="002006E8"/>
    <w:rsid w:val="00201815"/>
    <w:rsid w:val="00207585"/>
    <w:rsid w:val="00207802"/>
    <w:rsid w:val="00210217"/>
    <w:rsid w:val="00213D3C"/>
    <w:rsid w:val="0021431C"/>
    <w:rsid w:val="00216A7B"/>
    <w:rsid w:val="00217B18"/>
    <w:rsid w:val="00220F40"/>
    <w:rsid w:val="0022166B"/>
    <w:rsid w:val="00227361"/>
    <w:rsid w:val="0023033E"/>
    <w:rsid w:val="002344F3"/>
    <w:rsid w:val="0023518E"/>
    <w:rsid w:val="00235D20"/>
    <w:rsid w:val="00237D07"/>
    <w:rsid w:val="00240F1A"/>
    <w:rsid w:val="00244886"/>
    <w:rsid w:val="00244D4C"/>
    <w:rsid w:val="00244D6A"/>
    <w:rsid w:val="002454FD"/>
    <w:rsid w:val="0025015F"/>
    <w:rsid w:val="00250BB8"/>
    <w:rsid w:val="00251328"/>
    <w:rsid w:val="00251D53"/>
    <w:rsid w:val="00252C23"/>
    <w:rsid w:val="002562E0"/>
    <w:rsid w:val="00256869"/>
    <w:rsid w:val="00262955"/>
    <w:rsid w:val="00264217"/>
    <w:rsid w:val="002643E3"/>
    <w:rsid w:val="00265873"/>
    <w:rsid w:val="002666A9"/>
    <w:rsid w:val="00270E66"/>
    <w:rsid w:val="00271878"/>
    <w:rsid w:val="00271CAF"/>
    <w:rsid w:val="002721D8"/>
    <w:rsid w:val="002726A6"/>
    <w:rsid w:val="00276FBA"/>
    <w:rsid w:val="00277152"/>
    <w:rsid w:val="00277407"/>
    <w:rsid w:val="00281543"/>
    <w:rsid w:val="00282ADB"/>
    <w:rsid w:val="002849D6"/>
    <w:rsid w:val="00287F3E"/>
    <w:rsid w:val="002955D5"/>
    <w:rsid w:val="00295E54"/>
    <w:rsid w:val="0029745E"/>
    <w:rsid w:val="002A099C"/>
    <w:rsid w:val="002A2B1E"/>
    <w:rsid w:val="002A38C3"/>
    <w:rsid w:val="002A5A40"/>
    <w:rsid w:val="002A6C57"/>
    <w:rsid w:val="002A7330"/>
    <w:rsid w:val="002B0673"/>
    <w:rsid w:val="002B26BB"/>
    <w:rsid w:val="002B4617"/>
    <w:rsid w:val="002B692D"/>
    <w:rsid w:val="002B7A73"/>
    <w:rsid w:val="002B7D50"/>
    <w:rsid w:val="002C0064"/>
    <w:rsid w:val="002C0A7E"/>
    <w:rsid w:val="002C4126"/>
    <w:rsid w:val="002C51B6"/>
    <w:rsid w:val="002C5644"/>
    <w:rsid w:val="002C58B3"/>
    <w:rsid w:val="002C6275"/>
    <w:rsid w:val="002C76F4"/>
    <w:rsid w:val="002D5913"/>
    <w:rsid w:val="002D6092"/>
    <w:rsid w:val="002D7B3A"/>
    <w:rsid w:val="002D7CDC"/>
    <w:rsid w:val="002E206D"/>
    <w:rsid w:val="002E35A3"/>
    <w:rsid w:val="002E635C"/>
    <w:rsid w:val="002E64EF"/>
    <w:rsid w:val="002E6A45"/>
    <w:rsid w:val="002F0B0A"/>
    <w:rsid w:val="002F1B8A"/>
    <w:rsid w:val="002F3BB6"/>
    <w:rsid w:val="002F7139"/>
    <w:rsid w:val="002F7366"/>
    <w:rsid w:val="003022B1"/>
    <w:rsid w:val="0030278D"/>
    <w:rsid w:val="003062E6"/>
    <w:rsid w:val="003062FE"/>
    <w:rsid w:val="0030765A"/>
    <w:rsid w:val="00320827"/>
    <w:rsid w:val="00323E90"/>
    <w:rsid w:val="00326FF0"/>
    <w:rsid w:val="00327D3B"/>
    <w:rsid w:val="00331D4D"/>
    <w:rsid w:val="0033212D"/>
    <w:rsid w:val="00334616"/>
    <w:rsid w:val="00336479"/>
    <w:rsid w:val="00340116"/>
    <w:rsid w:val="00341C6F"/>
    <w:rsid w:val="0034211E"/>
    <w:rsid w:val="0034269E"/>
    <w:rsid w:val="003474ED"/>
    <w:rsid w:val="00351257"/>
    <w:rsid w:val="003513BB"/>
    <w:rsid w:val="003555D2"/>
    <w:rsid w:val="00356D0A"/>
    <w:rsid w:val="00357676"/>
    <w:rsid w:val="0036077C"/>
    <w:rsid w:val="003639FA"/>
    <w:rsid w:val="0036413C"/>
    <w:rsid w:val="003643F7"/>
    <w:rsid w:val="003646D9"/>
    <w:rsid w:val="00372930"/>
    <w:rsid w:val="00373DED"/>
    <w:rsid w:val="00374E1A"/>
    <w:rsid w:val="00375987"/>
    <w:rsid w:val="00375AC2"/>
    <w:rsid w:val="00377E22"/>
    <w:rsid w:val="00377E4F"/>
    <w:rsid w:val="00381008"/>
    <w:rsid w:val="0038256B"/>
    <w:rsid w:val="00382E59"/>
    <w:rsid w:val="00385649"/>
    <w:rsid w:val="00385694"/>
    <w:rsid w:val="00386992"/>
    <w:rsid w:val="00387249"/>
    <w:rsid w:val="003877D0"/>
    <w:rsid w:val="00392AF9"/>
    <w:rsid w:val="00393216"/>
    <w:rsid w:val="0039406B"/>
    <w:rsid w:val="003962B9"/>
    <w:rsid w:val="003A0200"/>
    <w:rsid w:val="003A041B"/>
    <w:rsid w:val="003A3A48"/>
    <w:rsid w:val="003A3FB5"/>
    <w:rsid w:val="003A5458"/>
    <w:rsid w:val="003B224B"/>
    <w:rsid w:val="003B5297"/>
    <w:rsid w:val="003C0A12"/>
    <w:rsid w:val="003C2D19"/>
    <w:rsid w:val="003C4AF1"/>
    <w:rsid w:val="003C65F2"/>
    <w:rsid w:val="003C727A"/>
    <w:rsid w:val="003C7AD2"/>
    <w:rsid w:val="003C7DDD"/>
    <w:rsid w:val="003D02EA"/>
    <w:rsid w:val="003D0387"/>
    <w:rsid w:val="003D0CAF"/>
    <w:rsid w:val="003D196C"/>
    <w:rsid w:val="003D1E7C"/>
    <w:rsid w:val="003D46EF"/>
    <w:rsid w:val="003D5373"/>
    <w:rsid w:val="003D7071"/>
    <w:rsid w:val="003E24F5"/>
    <w:rsid w:val="003E3026"/>
    <w:rsid w:val="003E4163"/>
    <w:rsid w:val="003E7786"/>
    <w:rsid w:val="003F41CB"/>
    <w:rsid w:val="003F533B"/>
    <w:rsid w:val="003F69D9"/>
    <w:rsid w:val="00403E61"/>
    <w:rsid w:val="004042A4"/>
    <w:rsid w:val="00414029"/>
    <w:rsid w:val="00414D05"/>
    <w:rsid w:val="0041643E"/>
    <w:rsid w:val="00416FCB"/>
    <w:rsid w:val="00417AFE"/>
    <w:rsid w:val="00423BB9"/>
    <w:rsid w:val="00423C4E"/>
    <w:rsid w:val="004257F2"/>
    <w:rsid w:val="0042583F"/>
    <w:rsid w:val="00431BA7"/>
    <w:rsid w:val="0043363D"/>
    <w:rsid w:val="0043396C"/>
    <w:rsid w:val="00433F4C"/>
    <w:rsid w:val="00436EEE"/>
    <w:rsid w:val="004378D9"/>
    <w:rsid w:val="0044024E"/>
    <w:rsid w:val="004411C8"/>
    <w:rsid w:val="0044710D"/>
    <w:rsid w:val="00447819"/>
    <w:rsid w:val="00451E99"/>
    <w:rsid w:val="00453594"/>
    <w:rsid w:val="00455D6E"/>
    <w:rsid w:val="00462461"/>
    <w:rsid w:val="0046266E"/>
    <w:rsid w:val="00463B9D"/>
    <w:rsid w:val="004647FD"/>
    <w:rsid w:val="00465CCF"/>
    <w:rsid w:val="004663A1"/>
    <w:rsid w:val="0046792D"/>
    <w:rsid w:val="004708BD"/>
    <w:rsid w:val="00471869"/>
    <w:rsid w:val="00472909"/>
    <w:rsid w:val="0047326F"/>
    <w:rsid w:val="004735A9"/>
    <w:rsid w:val="00473A69"/>
    <w:rsid w:val="00473C73"/>
    <w:rsid w:val="004743AB"/>
    <w:rsid w:val="004746F8"/>
    <w:rsid w:val="00475FA7"/>
    <w:rsid w:val="00476283"/>
    <w:rsid w:val="00476713"/>
    <w:rsid w:val="00477280"/>
    <w:rsid w:val="00490DB8"/>
    <w:rsid w:val="00491E38"/>
    <w:rsid w:val="004927C1"/>
    <w:rsid w:val="00492D76"/>
    <w:rsid w:val="004946E1"/>
    <w:rsid w:val="00497301"/>
    <w:rsid w:val="004A58E9"/>
    <w:rsid w:val="004B3C41"/>
    <w:rsid w:val="004B416F"/>
    <w:rsid w:val="004B5228"/>
    <w:rsid w:val="004B7197"/>
    <w:rsid w:val="004C0758"/>
    <w:rsid w:val="004C4D31"/>
    <w:rsid w:val="004C6E5D"/>
    <w:rsid w:val="004D023E"/>
    <w:rsid w:val="004D027A"/>
    <w:rsid w:val="004D1D17"/>
    <w:rsid w:val="004D4197"/>
    <w:rsid w:val="004D4CC6"/>
    <w:rsid w:val="004D4F5F"/>
    <w:rsid w:val="004D6CF6"/>
    <w:rsid w:val="004D6E86"/>
    <w:rsid w:val="004E02C9"/>
    <w:rsid w:val="004E248D"/>
    <w:rsid w:val="004E2977"/>
    <w:rsid w:val="004E3012"/>
    <w:rsid w:val="004E47CA"/>
    <w:rsid w:val="004E51B4"/>
    <w:rsid w:val="004F0F21"/>
    <w:rsid w:val="004F1488"/>
    <w:rsid w:val="004F28EC"/>
    <w:rsid w:val="004F2A64"/>
    <w:rsid w:val="004F30EA"/>
    <w:rsid w:val="004F35D6"/>
    <w:rsid w:val="004F3CE0"/>
    <w:rsid w:val="004F4C2C"/>
    <w:rsid w:val="004F65E3"/>
    <w:rsid w:val="00500B0C"/>
    <w:rsid w:val="00500ED9"/>
    <w:rsid w:val="00502872"/>
    <w:rsid w:val="00503B0F"/>
    <w:rsid w:val="00505A94"/>
    <w:rsid w:val="00505FCD"/>
    <w:rsid w:val="00506118"/>
    <w:rsid w:val="00506280"/>
    <w:rsid w:val="00506896"/>
    <w:rsid w:val="00510A4A"/>
    <w:rsid w:val="00513159"/>
    <w:rsid w:val="0051338C"/>
    <w:rsid w:val="00516BFF"/>
    <w:rsid w:val="005238B4"/>
    <w:rsid w:val="0052405F"/>
    <w:rsid w:val="005246BE"/>
    <w:rsid w:val="00526D3C"/>
    <w:rsid w:val="005272D4"/>
    <w:rsid w:val="005277E0"/>
    <w:rsid w:val="00531CF6"/>
    <w:rsid w:val="005325F8"/>
    <w:rsid w:val="005365B4"/>
    <w:rsid w:val="00537220"/>
    <w:rsid w:val="00540E80"/>
    <w:rsid w:val="0054362F"/>
    <w:rsid w:val="005472A9"/>
    <w:rsid w:val="00550CFF"/>
    <w:rsid w:val="005516BC"/>
    <w:rsid w:val="00553021"/>
    <w:rsid w:val="005571E8"/>
    <w:rsid w:val="00557347"/>
    <w:rsid w:val="005611B7"/>
    <w:rsid w:val="005621B6"/>
    <w:rsid w:val="00562E92"/>
    <w:rsid w:val="00565F9B"/>
    <w:rsid w:val="00566324"/>
    <w:rsid w:val="00566C63"/>
    <w:rsid w:val="00572E67"/>
    <w:rsid w:val="00574A7A"/>
    <w:rsid w:val="00575C75"/>
    <w:rsid w:val="00577EAF"/>
    <w:rsid w:val="0058030C"/>
    <w:rsid w:val="005818BA"/>
    <w:rsid w:val="00586872"/>
    <w:rsid w:val="0059081A"/>
    <w:rsid w:val="00590F18"/>
    <w:rsid w:val="00592CFE"/>
    <w:rsid w:val="00593133"/>
    <w:rsid w:val="00593E48"/>
    <w:rsid w:val="00596B06"/>
    <w:rsid w:val="005A0680"/>
    <w:rsid w:val="005A0BD0"/>
    <w:rsid w:val="005A2D6A"/>
    <w:rsid w:val="005A347D"/>
    <w:rsid w:val="005A4817"/>
    <w:rsid w:val="005A78D4"/>
    <w:rsid w:val="005B2140"/>
    <w:rsid w:val="005B46FB"/>
    <w:rsid w:val="005B5D60"/>
    <w:rsid w:val="005B67F8"/>
    <w:rsid w:val="005B7E69"/>
    <w:rsid w:val="005C00A5"/>
    <w:rsid w:val="005C1679"/>
    <w:rsid w:val="005C5831"/>
    <w:rsid w:val="005C627B"/>
    <w:rsid w:val="005C70FD"/>
    <w:rsid w:val="005C78F8"/>
    <w:rsid w:val="005D31AE"/>
    <w:rsid w:val="005D3C3B"/>
    <w:rsid w:val="005D3F20"/>
    <w:rsid w:val="005D4228"/>
    <w:rsid w:val="005D64B6"/>
    <w:rsid w:val="005D77DF"/>
    <w:rsid w:val="005E39BE"/>
    <w:rsid w:val="005E3A5A"/>
    <w:rsid w:val="005E3FB9"/>
    <w:rsid w:val="005E4BC7"/>
    <w:rsid w:val="005E70DE"/>
    <w:rsid w:val="005E7887"/>
    <w:rsid w:val="005F0F8E"/>
    <w:rsid w:val="005F10BC"/>
    <w:rsid w:val="005F2398"/>
    <w:rsid w:val="005F3656"/>
    <w:rsid w:val="005F3A91"/>
    <w:rsid w:val="00602CC0"/>
    <w:rsid w:val="0060724C"/>
    <w:rsid w:val="006112C2"/>
    <w:rsid w:val="006126C9"/>
    <w:rsid w:val="0061390E"/>
    <w:rsid w:val="006171B6"/>
    <w:rsid w:val="0061750C"/>
    <w:rsid w:val="0061798B"/>
    <w:rsid w:val="00617EC3"/>
    <w:rsid w:val="006240FF"/>
    <w:rsid w:val="00624ED6"/>
    <w:rsid w:val="00630DB5"/>
    <w:rsid w:val="0063178C"/>
    <w:rsid w:val="006337DE"/>
    <w:rsid w:val="00633C72"/>
    <w:rsid w:val="00634BBF"/>
    <w:rsid w:val="00634E16"/>
    <w:rsid w:val="00635144"/>
    <w:rsid w:val="00636441"/>
    <w:rsid w:val="00644677"/>
    <w:rsid w:val="006465E4"/>
    <w:rsid w:val="00646EE0"/>
    <w:rsid w:val="0064703B"/>
    <w:rsid w:val="006506CD"/>
    <w:rsid w:val="006517DB"/>
    <w:rsid w:val="0065302D"/>
    <w:rsid w:val="00654AFD"/>
    <w:rsid w:val="00654C7B"/>
    <w:rsid w:val="00654C95"/>
    <w:rsid w:val="00657BA5"/>
    <w:rsid w:val="00657D92"/>
    <w:rsid w:val="00660D06"/>
    <w:rsid w:val="00662AF5"/>
    <w:rsid w:val="00663AE4"/>
    <w:rsid w:val="006646CA"/>
    <w:rsid w:val="00665AB9"/>
    <w:rsid w:val="00670580"/>
    <w:rsid w:val="00671DE2"/>
    <w:rsid w:val="00672592"/>
    <w:rsid w:val="00673E15"/>
    <w:rsid w:val="00674103"/>
    <w:rsid w:val="00674A15"/>
    <w:rsid w:val="00675196"/>
    <w:rsid w:val="006802BD"/>
    <w:rsid w:val="00680C2A"/>
    <w:rsid w:val="006836A9"/>
    <w:rsid w:val="0068402E"/>
    <w:rsid w:val="00684876"/>
    <w:rsid w:val="006870C9"/>
    <w:rsid w:val="00687ACF"/>
    <w:rsid w:val="0069366E"/>
    <w:rsid w:val="00693E72"/>
    <w:rsid w:val="00694D07"/>
    <w:rsid w:val="00695244"/>
    <w:rsid w:val="0069776E"/>
    <w:rsid w:val="00697D91"/>
    <w:rsid w:val="006A12E6"/>
    <w:rsid w:val="006A19E4"/>
    <w:rsid w:val="006A5750"/>
    <w:rsid w:val="006A7B34"/>
    <w:rsid w:val="006B12EB"/>
    <w:rsid w:val="006B29A9"/>
    <w:rsid w:val="006B5C45"/>
    <w:rsid w:val="006B5FDC"/>
    <w:rsid w:val="006B680E"/>
    <w:rsid w:val="006B69E7"/>
    <w:rsid w:val="006B7DA9"/>
    <w:rsid w:val="006C221E"/>
    <w:rsid w:val="006C4F29"/>
    <w:rsid w:val="006C5456"/>
    <w:rsid w:val="006C7853"/>
    <w:rsid w:val="006D04AD"/>
    <w:rsid w:val="006D1759"/>
    <w:rsid w:val="006D4014"/>
    <w:rsid w:val="006D5EB0"/>
    <w:rsid w:val="006E2CBC"/>
    <w:rsid w:val="006E33D9"/>
    <w:rsid w:val="006E499B"/>
    <w:rsid w:val="006E5E03"/>
    <w:rsid w:val="006F0CBE"/>
    <w:rsid w:val="006F13C0"/>
    <w:rsid w:val="006F1C28"/>
    <w:rsid w:val="006F3A09"/>
    <w:rsid w:val="006F644E"/>
    <w:rsid w:val="006F6451"/>
    <w:rsid w:val="006F736B"/>
    <w:rsid w:val="007001BD"/>
    <w:rsid w:val="00700BDE"/>
    <w:rsid w:val="00700E0E"/>
    <w:rsid w:val="00701801"/>
    <w:rsid w:val="007020A1"/>
    <w:rsid w:val="00703A46"/>
    <w:rsid w:val="00707754"/>
    <w:rsid w:val="0071080E"/>
    <w:rsid w:val="00710FE4"/>
    <w:rsid w:val="00712DF0"/>
    <w:rsid w:val="007141B2"/>
    <w:rsid w:val="00717059"/>
    <w:rsid w:val="00720EFB"/>
    <w:rsid w:val="0072262C"/>
    <w:rsid w:val="00723C25"/>
    <w:rsid w:val="0072649D"/>
    <w:rsid w:val="0073050F"/>
    <w:rsid w:val="007310A1"/>
    <w:rsid w:val="00731DFF"/>
    <w:rsid w:val="00734564"/>
    <w:rsid w:val="00734AF9"/>
    <w:rsid w:val="00743083"/>
    <w:rsid w:val="007431FD"/>
    <w:rsid w:val="00744890"/>
    <w:rsid w:val="00745BD0"/>
    <w:rsid w:val="00746F0B"/>
    <w:rsid w:val="007471AC"/>
    <w:rsid w:val="007515A1"/>
    <w:rsid w:val="00752841"/>
    <w:rsid w:val="0075444E"/>
    <w:rsid w:val="00756424"/>
    <w:rsid w:val="0076098A"/>
    <w:rsid w:val="00761869"/>
    <w:rsid w:val="00762CD1"/>
    <w:rsid w:val="00766BAE"/>
    <w:rsid w:val="0076785C"/>
    <w:rsid w:val="00771448"/>
    <w:rsid w:val="007727D6"/>
    <w:rsid w:val="00772E37"/>
    <w:rsid w:val="00774EE1"/>
    <w:rsid w:val="00777562"/>
    <w:rsid w:val="00784988"/>
    <w:rsid w:val="0078644D"/>
    <w:rsid w:val="007866F8"/>
    <w:rsid w:val="00786C07"/>
    <w:rsid w:val="007879E5"/>
    <w:rsid w:val="00787B19"/>
    <w:rsid w:val="00790BD4"/>
    <w:rsid w:val="00790DA1"/>
    <w:rsid w:val="007A07C4"/>
    <w:rsid w:val="007A08E8"/>
    <w:rsid w:val="007A4130"/>
    <w:rsid w:val="007A46E8"/>
    <w:rsid w:val="007A5571"/>
    <w:rsid w:val="007A7262"/>
    <w:rsid w:val="007B051A"/>
    <w:rsid w:val="007B1053"/>
    <w:rsid w:val="007B1FF6"/>
    <w:rsid w:val="007B245C"/>
    <w:rsid w:val="007B2934"/>
    <w:rsid w:val="007B3C28"/>
    <w:rsid w:val="007B3CAB"/>
    <w:rsid w:val="007B5E6E"/>
    <w:rsid w:val="007B68A5"/>
    <w:rsid w:val="007B79A6"/>
    <w:rsid w:val="007C0DD4"/>
    <w:rsid w:val="007C23A0"/>
    <w:rsid w:val="007C28EC"/>
    <w:rsid w:val="007C3169"/>
    <w:rsid w:val="007C3A71"/>
    <w:rsid w:val="007C474D"/>
    <w:rsid w:val="007C4B3F"/>
    <w:rsid w:val="007C530B"/>
    <w:rsid w:val="007C6C13"/>
    <w:rsid w:val="007C7E25"/>
    <w:rsid w:val="007C7E3B"/>
    <w:rsid w:val="007C7EE6"/>
    <w:rsid w:val="007D0C78"/>
    <w:rsid w:val="007D3269"/>
    <w:rsid w:val="007D360F"/>
    <w:rsid w:val="007D41FE"/>
    <w:rsid w:val="007D43BD"/>
    <w:rsid w:val="007D7028"/>
    <w:rsid w:val="007E123D"/>
    <w:rsid w:val="007E1CD4"/>
    <w:rsid w:val="007E6429"/>
    <w:rsid w:val="007E73AF"/>
    <w:rsid w:val="007E7A5B"/>
    <w:rsid w:val="007F4602"/>
    <w:rsid w:val="007F5139"/>
    <w:rsid w:val="007F5FB5"/>
    <w:rsid w:val="007F62DB"/>
    <w:rsid w:val="007F62DF"/>
    <w:rsid w:val="007F6A02"/>
    <w:rsid w:val="00804692"/>
    <w:rsid w:val="00804DC0"/>
    <w:rsid w:val="00806B94"/>
    <w:rsid w:val="00807A54"/>
    <w:rsid w:val="00811438"/>
    <w:rsid w:val="00812E7D"/>
    <w:rsid w:val="00813279"/>
    <w:rsid w:val="008134A6"/>
    <w:rsid w:val="00813AA3"/>
    <w:rsid w:val="008140B3"/>
    <w:rsid w:val="00814A60"/>
    <w:rsid w:val="00814F75"/>
    <w:rsid w:val="00814F97"/>
    <w:rsid w:val="00815DE4"/>
    <w:rsid w:val="00817647"/>
    <w:rsid w:val="00817685"/>
    <w:rsid w:val="008179E5"/>
    <w:rsid w:val="008221E4"/>
    <w:rsid w:val="008250EE"/>
    <w:rsid w:val="0082701F"/>
    <w:rsid w:val="008357BC"/>
    <w:rsid w:val="00836646"/>
    <w:rsid w:val="00836B36"/>
    <w:rsid w:val="00841D12"/>
    <w:rsid w:val="008504BC"/>
    <w:rsid w:val="00850E73"/>
    <w:rsid w:val="008520D8"/>
    <w:rsid w:val="00853F4E"/>
    <w:rsid w:val="00856BDE"/>
    <w:rsid w:val="00857E59"/>
    <w:rsid w:val="0086055C"/>
    <w:rsid w:val="00861386"/>
    <w:rsid w:val="00861E51"/>
    <w:rsid w:val="00862531"/>
    <w:rsid w:val="008642A8"/>
    <w:rsid w:val="00864F47"/>
    <w:rsid w:val="00865C4F"/>
    <w:rsid w:val="0086661C"/>
    <w:rsid w:val="00870435"/>
    <w:rsid w:val="00872E37"/>
    <w:rsid w:val="00872F6C"/>
    <w:rsid w:val="008731F0"/>
    <w:rsid w:val="00873296"/>
    <w:rsid w:val="00873E02"/>
    <w:rsid w:val="00873F0F"/>
    <w:rsid w:val="008754C1"/>
    <w:rsid w:val="00881A50"/>
    <w:rsid w:val="00885DA3"/>
    <w:rsid w:val="00893145"/>
    <w:rsid w:val="00893EE9"/>
    <w:rsid w:val="00894C90"/>
    <w:rsid w:val="008977DD"/>
    <w:rsid w:val="008A3B70"/>
    <w:rsid w:val="008B0D14"/>
    <w:rsid w:val="008B16E6"/>
    <w:rsid w:val="008B6075"/>
    <w:rsid w:val="008C0C45"/>
    <w:rsid w:val="008C3E39"/>
    <w:rsid w:val="008C430E"/>
    <w:rsid w:val="008C56A6"/>
    <w:rsid w:val="008C5A9A"/>
    <w:rsid w:val="008C6ADC"/>
    <w:rsid w:val="008C7C90"/>
    <w:rsid w:val="008D020D"/>
    <w:rsid w:val="008D027B"/>
    <w:rsid w:val="008D0962"/>
    <w:rsid w:val="008D25F1"/>
    <w:rsid w:val="008D37F3"/>
    <w:rsid w:val="008D6BA5"/>
    <w:rsid w:val="008D6D55"/>
    <w:rsid w:val="008E11B2"/>
    <w:rsid w:val="008E14FA"/>
    <w:rsid w:val="008E2194"/>
    <w:rsid w:val="008E3517"/>
    <w:rsid w:val="008E4704"/>
    <w:rsid w:val="008F0649"/>
    <w:rsid w:val="008F4AA9"/>
    <w:rsid w:val="008F7C5C"/>
    <w:rsid w:val="009004C8"/>
    <w:rsid w:val="00905F7E"/>
    <w:rsid w:val="00906843"/>
    <w:rsid w:val="009117A8"/>
    <w:rsid w:val="00912B3E"/>
    <w:rsid w:val="0091458C"/>
    <w:rsid w:val="00914BF4"/>
    <w:rsid w:val="00915157"/>
    <w:rsid w:val="009153B3"/>
    <w:rsid w:val="00915524"/>
    <w:rsid w:val="00916FEC"/>
    <w:rsid w:val="009205E5"/>
    <w:rsid w:val="00920A19"/>
    <w:rsid w:val="00922140"/>
    <w:rsid w:val="009223AF"/>
    <w:rsid w:val="009223B8"/>
    <w:rsid w:val="00923BD2"/>
    <w:rsid w:val="009242F4"/>
    <w:rsid w:val="009268BF"/>
    <w:rsid w:val="0092713F"/>
    <w:rsid w:val="00931204"/>
    <w:rsid w:val="009312BA"/>
    <w:rsid w:val="00931E69"/>
    <w:rsid w:val="009333CB"/>
    <w:rsid w:val="0093686C"/>
    <w:rsid w:val="00936BFF"/>
    <w:rsid w:val="00940652"/>
    <w:rsid w:val="00940A6D"/>
    <w:rsid w:val="009469D9"/>
    <w:rsid w:val="00952492"/>
    <w:rsid w:val="009551FB"/>
    <w:rsid w:val="00961D41"/>
    <w:rsid w:val="00964A0C"/>
    <w:rsid w:val="00965936"/>
    <w:rsid w:val="00965DB4"/>
    <w:rsid w:val="00966DBD"/>
    <w:rsid w:val="00966F6E"/>
    <w:rsid w:val="009671A8"/>
    <w:rsid w:val="00972C2F"/>
    <w:rsid w:val="00976672"/>
    <w:rsid w:val="00980A2B"/>
    <w:rsid w:val="0098126A"/>
    <w:rsid w:val="00983812"/>
    <w:rsid w:val="0098452C"/>
    <w:rsid w:val="0098465E"/>
    <w:rsid w:val="00984919"/>
    <w:rsid w:val="009853B9"/>
    <w:rsid w:val="0098592A"/>
    <w:rsid w:val="00987835"/>
    <w:rsid w:val="00991B71"/>
    <w:rsid w:val="0099340D"/>
    <w:rsid w:val="009962A4"/>
    <w:rsid w:val="009A241A"/>
    <w:rsid w:val="009A40CD"/>
    <w:rsid w:val="009A4608"/>
    <w:rsid w:val="009B03D7"/>
    <w:rsid w:val="009B1AC1"/>
    <w:rsid w:val="009B2A3C"/>
    <w:rsid w:val="009B3670"/>
    <w:rsid w:val="009B3DE0"/>
    <w:rsid w:val="009B3EBC"/>
    <w:rsid w:val="009B4300"/>
    <w:rsid w:val="009B5AEE"/>
    <w:rsid w:val="009B6252"/>
    <w:rsid w:val="009B7BF6"/>
    <w:rsid w:val="009C1BC5"/>
    <w:rsid w:val="009C4CFC"/>
    <w:rsid w:val="009C51C3"/>
    <w:rsid w:val="009C6DB7"/>
    <w:rsid w:val="009D0C1C"/>
    <w:rsid w:val="009D22F5"/>
    <w:rsid w:val="009D3210"/>
    <w:rsid w:val="009D4E78"/>
    <w:rsid w:val="009D55BD"/>
    <w:rsid w:val="009D6B19"/>
    <w:rsid w:val="009D7C14"/>
    <w:rsid w:val="009E186F"/>
    <w:rsid w:val="009E1AD4"/>
    <w:rsid w:val="009E3B3E"/>
    <w:rsid w:val="009E49D1"/>
    <w:rsid w:val="009E53F1"/>
    <w:rsid w:val="009F1817"/>
    <w:rsid w:val="009F2E7B"/>
    <w:rsid w:val="009F365C"/>
    <w:rsid w:val="009F4958"/>
    <w:rsid w:val="009F6BD4"/>
    <w:rsid w:val="009F7CBB"/>
    <w:rsid w:val="00A0155B"/>
    <w:rsid w:val="00A033E4"/>
    <w:rsid w:val="00A04147"/>
    <w:rsid w:val="00A05904"/>
    <w:rsid w:val="00A05DA0"/>
    <w:rsid w:val="00A110A1"/>
    <w:rsid w:val="00A112DC"/>
    <w:rsid w:val="00A1396B"/>
    <w:rsid w:val="00A15097"/>
    <w:rsid w:val="00A15624"/>
    <w:rsid w:val="00A15C6D"/>
    <w:rsid w:val="00A16696"/>
    <w:rsid w:val="00A166A3"/>
    <w:rsid w:val="00A21C83"/>
    <w:rsid w:val="00A23AAD"/>
    <w:rsid w:val="00A25F3B"/>
    <w:rsid w:val="00A27B52"/>
    <w:rsid w:val="00A30173"/>
    <w:rsid w:val="00A30BA7"/>
    <w:rsid w:val="00A31E63"/>
    <w:rsid w:val="00A34160"/>
    <w:rsid w:val="00A350F3"/>
    <w:rsid w:val="00A36055"/>
    <w:rsid w:val="00A374EB"/>
    <w:rsid w:val="00A37ABA"/>
    <w:rsid w:val="00A41C2E"/>
    <w:rsid w:val="00A41D03"/>
    <w:rsid w:val="00A420FC"/>
    <w:rsid w:val="00A476C6"/>
    <w:rsid w:val="00A47B9A"/>
    <w:rsid w:val="00A53B1D"/>
    <w:rsid w:val="00A54AA7"/>
    <w:rsid w:val="00A551DD"/>
    <w:rsid w:val="00A56A93"/>
    <w:rsid w:val="00A6031C"/>
    <w:rsid w:val="00A612C4"/>
    <w:rsid w:val="00A61BC0"/>
    <w:rsid w:val="00A65381"/>
    <w:rsid w:val="00A6740E"/>
    <w:rsid w:val="00A67B29"/>
    <w:rsid w:val="00A67F76"/>
    <w:rsid w:val="00A72EB0"/>
    <w:rsid w:val="00A72F8E"/>
    <w:rsid w:val="00A7428F"/>
    <w:rsid w:val="00A77498"/>
    <w:rsid w:val="00A8183D"/>
    <w:rsid w:val="00A81C7D"/>
    <w:rsid w:val="00A82880"/>
    <w:rsid w:val="00A85A3B"/>
    <w:rsid w:val="00A863BE"/>
    <w:rsid w:val="00A9166C"/>
    <w:rsid w:val="00A920DD"/>
    <w:rsid w:val="00A925FB"/>
    <w:rsid w:val="00A9274A"/>
    <w:rsid w:val="00A95884"/>
    <w:rsid w:val="00A95AEE"/>
    <w:rsid w:val="00A95D52"/>
    <w:rsid w:val="00A962E0"/>
    <w:rsid w:val="00A9646D"/>
    <w:rsid w:val="00A97327"/>
    <w:rsid w:val="00AA0577"/>
    <w:rsid w:val="00AA0D52"/>
    <w:rsid w:val="00AA2E52"/>
    <w:rsid w:val="00AA331F"/>
    <w:rsid w:val="00AA60BE"/>
    <w:rsid w:val="00AA7F9A"/>
    <w:rsid w:val="00AB035D"/>
    <w:rsid w:val="00AB4A49"/>
    <w:rsid w:val="00AB55F2"/>
    <w:rsid w:val="00AB693C"/>
    <w:rsid w:val="00AB6D61"/>
    <w:rsid w:val="00AB7543"/>
    <w:rsid w:val="00AC31C3"/>
    <w:rsid w:val="00AC5398"/>
    <w:rsid w:val="00AC72EA"/>
    <w:rsid w:val="00AC7ACC"/>
    <w:rsid w:val="00AD030F"/>
    <w:rsid w:val="00AD31F4"/>
    <w:rsid w:val="00AD4621"/>
    <w:rsid w:val="00AD5F99"/>
    <w:rsid w:val="00AE1671"/>
    <w:rsid w:val="00AE1B72"/>
    <w:rsid w:val="00AE1DC0"/>
    <w:rsid w:val="00AE2234"/>
    <w:rsid w:val="00AE3851"/>
    <w:rsid w:val="00AE7F48"/>
    <w:rsid w:val="00AF061B"/>
    <w:rsid w:val="00AF2133"/>
    <w:rsid w:val="00AF4E33"/>
    <w:rsid w:val="00AF4EC2"/>
    <w:rsid w:val="00AF65FC"/>
    <w:rsid w:val="00AF6EBC"/>
    <w:rsid w:val="00B01A63"/>
    <w:rsid w:val="00B020A0"/>
    <w:rsid w:val="00B02272"/>
    <w:rsid w:val="00B04A00"/>
    <w:rsid w:val="00B10397"/>
    <w:rsid w:val="00B12892"/>
    <w:rsid w:val="00B12914"/>
    <w:rsid w:val="00B140C7"/>
    <w:rsid w:val="00B15071"/>
    <w:rsid w:val="00B153A1"/>
    <w:rsid w:val="00B15B6F"/>
    <w:rsid w:val="00B16405"/>
    <w:rsid w:val="00B16B67"/>
    <w:rsid w:val="00B2055A"/>
    <w:rsid w:val="00B20CB8"/>
    <w:rsid w:val="00B22C52"/>
    <w:rsid w:val="00B26B86"/>
    <w:rsid w:val="00B2711F"/>
    <w:rsid w:val="00B274DD"/>
    <w:rsid w:val="00B326FE"/>
    <w:rsid w:val="00B33905"/>
    <w:rsid w:val="00B34D47"/>
    <w:rsid w:val="00B37216"/>
    <w:rsid w:val="00B4312C"/>
    <w:rsid w:val="00B43C00"/>
    <w:rsid w:val="00B44E2F"/>
    <w:rsid w:val="00B459BE"/>
    <w:rsid w:val="00B45DBC"/>
    <w:rsid w:val="00B47B12"/>
    <w:rsid w:val="00B51705"/>
    <w:rsid w:val="00B5617F"/>
    <w:rsid w:val="00B56734"/>
    <w:rsid w:val="00B5730E"/>
    <w:rsid w:val="00B6019E"/>
    <w:rsid w:val="00B60D04"/>
    <w:rsid w:val="00B62582"/>
    <w:rsid w:val="00B661A4"/>
    <w:rsid w:val="00B70546"/>
    <w:rsid w:val="00B70680"/>
    <w:rsid w:val="00B70C6A"/>
    <w:rsid w:val="00B71E55"/>
    <w:rsid w:val="00B734C5"/>
    <w:rsid w:val="00B73C1B"/>
    <w:rsid w:val="00B75680"/>
    <w:rsid w:val="00B7657E"/>
    <w:rsid w:val="00B81D23"/>
    <w:rsid w:val="00B824F9"/>
    <w:rsid w:val="00B826D8"/>
    <w:rsid w:val="00B83C28"/>
    <w:rsid w:val="00B91D91"/>
    <w:rsid w:val="00B92EEE"/>
    <w:rsid w:val="00B9357D"/>
    <w:rsid w:val="00B94C27"/>
    <w:rsid w:val="00B959E7"/>
    <w:rsid w:val="00B96916"/>
    <w:rsid w:val="00B97CAA"/>
    <w:rsid w:val="00B97E46"/>
    <w:rsid w:val="00BA071E"/>
    <w:rsid w:val="00BA486F"/>
    <w:rsid w:val="00BA48F9"/>
    <w:rsid w:val="00BA51BD"/>
    <w:rsid w:val="00BA5538"/>
    <w:rsid w:val="00BA5547"/>
    <w:rsid w:val="00BA57DC"/>
    <w:rsid w:val="00BA5891"/>
    <w:rsid w:val="00BA7427"/>
    <w:rsid w:val="00BB0B1B"/>
    <w:rsid w:val="00BB23A2"/>
    <w:rsid w:val="00BC1349"/>
    <w:rsid w:val="00BC748E"/>
    <w:rsid w:val="00BD0CA8"/>
    <w:rsid w:val="00BD1013"/>
    <w:rsid w:val="00BD22D7"/>
    <w:rsid w:val="00BD2CFB"/>
    <w:rsid w:val="00BD3DB1"/>
    <w:rsid w:val="00BD49D2"/>
    <w:rsid w:val="00BD6368"/>
    <w:rsid w:val="00BD7E2C"/>
    <w:rsid w:val="00BE041F"/>
    <w:rsid w:val="00BE11BF"/>
    <w:rsid w:val="00BE22AC"/>
    <w:rsid w:val="00BE40A1"/>
    <w:rsid w:val="00BE7BB2"/>
    <w:rsid w:val="00BF36F4"/>
    <w:rsid w:val="00BF392F"/>
    <w:rsid w:val="00BF45AC"/>
    <w:rsid w:val="00BF4B65"/>
    <w:rsid w:val="00BF56E4"/>
    <w:rsid w:val="00BF6EFA"/>
    <w:rsid w:val="00BF71AB"/>
    <w:rsid w:val="00C0095D"/>
    <w:rsid w:val="00C02745"/>
    <w:rsid w:val="00C057B8"/>
    <w:rsid w:val="00C0648E"/>
    <w:rsid w:val="00C07BD7"/>
    <w:rsid w:val="00C07E46"/>
    <w:rsid w:val="00C12017"/>
    <w:rsid w:val="00C12347"/>
    <w:rsid w:val="00C12DA5"/>
    <w:rsid w:val="00C136F0"/>
    <w:rsid w:val="00C13B57"/>
    <w:rsid w:val="00C1425C"/>
    <w:rsid w:val="00C14C8A"/>
    <w:rsid w:val="00C16702"/>
    <w:rsid w:val="00C2032C"/>
    <w:rsid w:val="00C21C6C"/>
    <w:rsid w:val="00C222D4"/>
    <w:rsid w:val="00C227FE"/>
    <w:rsid w:val="00C23479"/>
    <w:rsid w:val="00C2637A"/>
    <w:rsid w:val="00C307DA"/>
    <w:rsid w:val="00C31457"/>
    <w:rsid w:val="00C31C09"/>
    <w:rsid w:val="00C31DD5"/>
    <w:rsid w:val="00C32F12"/>
    <w:rsid w:val="00C33AAA"/>
    <w:rsid w:val="00C34757"/>
    <w:rsid w:val="00C35197"/>
    <w:rsid w:val="00C36A56"/>
    <w:rsid w:val="00C36DFD"/>
    <w:rsid w:val="00C377B8"/>
    <w:rsid w:val="00C4094C"/>
    <w:rsid w:val="00C409E5"/>
    <w:rsid w:val="00C46CAF"/>
    <w:rsid w:val="00C47EFB"/>
    <w:rsid w:val="00C5139F"/>
    <w:rsid w:val="00C51453"/>
    <w:rsid w:val="00C52BDB"/>
    <w:rsid w:val="00C52C51"/>
    <w:rsid w:val="00C52D34"/>
    <w:rsid w:val="00C53181"/>
    <w:rsid w:val="00C5345E"/>
    <w:rsid w:val="00C54EEF"/>
    <w:rsid w:val="00C551BF"/>
    <w:rsid w:val="00C563D1"/>
    <w:rsid w:val="00C60673"/>
    <w:rsid w:val="00C6068F"/>
    <w:rsid w:val="00C613AF"/>
    <w:rsid w:val="00C613E4"/>
    <w:rsid w:val="00C6276C"/>
    <w:rsid w:val="00C63604"/>
    <w:rsid w:val="00C636AE"/>
    <w:rsid w:val="00C65481"/>
    <w:rsid w:val="00C656DC"/>
    <w:rsid w:val="00C66D94"/>
    <w:rsid w:val="00C679F4"/>
    <w:rsid w:val="00C70D61"/>
    <w:rsid w:val="00C716C6"/>
    <w:rsid w:val="00C72C01"/>
    <w:rsid w:val="00C7355B"/>
    <w:rsid w:val="00C73EB5"/>
    <w:rsid w:val="00C75BE6"/>
    <w:rsid w:val="00C7628C"/>
    <w:rsid w:val="00C77E15"/>
    <w:rsid w:val="00C8073F"/>
    <w:rsid w:val="00C80B00"/>
    <w:rsid w:val="00C80F54"/>
    <w:rsid w:val="00C82062"/>
    <w:rsid w:val="00C85B31"/>
    <w:rsid w:val="00C87B84"/>
    <w:rsid w:val="00C915C9"/>
    <w:rsid w:val="00C9245A"/>
    <w:rsid w:val="00C928C7"/>
    <w:rsid w:val="00C933B9"/>
    <w:rsid w:val="00C93B50"/>
    <w:rsid w:val="00C95BB2"/>
    <w:rsid w:val="00C96705"/>
    <w:rsid w:val="00C97BA9"/>
    <w:rsid w:val="00CA3FB5"/>
    <w:rsid w:val="00CA68DA"/>
    <w:rsid w:val="00CA6981"/>
    <w:rsid w:val="00CB1AAD"/>
    <w:rsid w:val="00CB1B97"/>
    <w:rsid w:val="00CB23DF"/>
    <w:rsid w:val="00CB329F"/>
    <w:rsid w:val="00CB3536"/>
    <w:rsid w:val="00CB3EBB"/>
    <w:rsid w:val="00CB45D2"/>
    <w:rsid w:val="00CB5085"/>
    <w:rsid w:val="00CB5229"/>
    <w:rsid w:val="00CB5A70"/>
    <w:rsid w:val="00CC014E"/>
    <w:rsid w:val="00CC0291"/>
    <w:rsid w:val="00CC2E71"/>
    <w:rsid w:val="00CC42A9"/>
    <w:rsid w:val="00CC5043"/>
    <w:rsid w:val="00CD256B"/>
    <w:rsid w:val="00CD2618"/>
    <w:rsid w:val="00CD3FD3"/>
    <w:rsid w:val="00CD4552"/>
    <w:rsid w:val="00CD47A8"/>
    <w:rsid w:val="00CD5250"/>
    <w:rsid w:val="00CD5E5A"/>
    <w:rsid w:val="00CD63B9"/>
    <w:rsid w:val="00CE2048"/>
    <w:rsid w:val="00CE348A"/>
    <w:rsid w:val="00CE5471"/>
    <w:rsid w:val="00CE54C8"/>
    <w:rsid w:val="00CE66AD"/>
    <w:rsid w:val="00CE742C"/>
    <w:rsid w:val="00CF0904"/>
    <w:rsid w:val="00CF0F3B"/>
    <w:rsid w:val="00CF30CC"/>
    <w:rsid w:val="00D046AE"/>
    <w:rsid w:val="00D06EDD"/>
    <w:rsid w:val="00D070A2"/>
    <w:rsid w:val="00D070FF"/>
    <w:rsid w:val="00D10011"/>
    <w:rsid w:val="00D100F2"/>
    <w:rsid w:val="00D142E6"/>
    <w:rsid w:val="00D14C9E"/>
    <w:rsid w:val="00D154D9"/>
    <w:rsid w:val="00D15EAD"/>
    <w:rsid w:val="00D161E2"/>
    <w:rsid w:val="00D165A9"/>
    <w:rsid w:val="00D17779"/>
    <w:rsid w:val="00D20676"/>
    <w:rsid w:val="00D20BDB"/>
    <w:rsid w:val="00D20C28"/>
    <w:rsid w:val="00D23668"/>
    <w:rsid w:val="00D25374"/>
    <w:rsid w:val="00D255CD"/>
    <w:rsid w:val="00D27CE8"/>
    <w:rsid w:val="00D27FC1"/>
    <w:rsid w:val="00D30D9B"/>
    <w:rsid w:val="00D319BA"/>
    <w:rsid w:val="00D37571"/>
    <w:rsid w:val="00D40A33"/>
    <w:rsid w:val="00D41F25"/>
    <w:rsid w:val="00D42FF8"/>
    <w:rsid w:val="00D4342B"/>
    <w:rsid w:val="00D4360E"/>
    <w:rsid w:val="00D43F34"/>
    <w:rsid w:val="00D44E74"/>
    <w:rsid w:val="00D45D13"/>
    <w:rsid w:val="00D4670C"/>
    <w:rsid w:val="00D52D21"/>
    <w:rsid w:val="00D5417B"/>
    <w:rsid w:val="00D5509C"/>
    <w:rsid w:val="00D56C73"/>
    <w:rsid w:val="00D57BD3"/>
    <w:rsid w:val="00D6005A"/>
    <w:rsid w:val="00D601AD"/>
    <w:rsid w:val="00D626F4"/>
    <w:rsid w:val="00D62768"/>
    <w:rsid w:val="00D62EB3"/>
    <w:rsid w:val="00D638EA"/>
    <w:rsid w:val="00D64B78"/>
    <w:rsid w:val="00D663C5"/>
    <w:rsid w:val="00D664D2"/>
    <w:rsid w:val="00D7081C"/>
    <w:rsid w:val="00D70DAA"/>
    <w:rsid w:val="00D70E6F"/>
    <w:rsid w:val="00D719FC"/>
    <w:rsid w:val="00D7268F"/>
    <w:rsid w:val="00D72AD8"/>
    <w:rsid w:val="00D72D3A"/>
    <w:rsid w:val="00D74F79"/>
    <w:rsid w:val="00D8002D"/>
    <w:rsid w:val="00D812E9"/>
    <w:rsid w:val="00D81626"/>
    <w:rsid w:val="00D834BF"/>
    <w:rsid w:val="00D83A7A"/>
    <w:rsid w:val="00D87F7C"/>
    <w:rsid w:val="00D901F5"/>
    <w:rsid w:val="00D922F3"/>
    <w:rsid w:val="00D94F8A"/>
    <w:rsid w:val="00D95797"/>
    <w:rsid w:val="00D97AA3"/>
    <w:rsid w:val="00D97DB1"/>
    <w:rsid w:val="00DA4809"/>
    <w:rsid w:val="00DA5140"/>
    <w:rsid w:val="00DA6FF2"/>
    <w:rsid w:val="00DB14A0"/>
    <w:rsid w:val="00DB282A"/>
    <w:rsid w:val="00DB578E"/>
    <w:rsid w:val="00DB5CAE"/>
    <w:rsid w:val="00DB6A53"/>
    <w:rsid w:val="00DC32C6"/>
    <w:rsid w:val="00DC6110"/>
    <w:rsid w:val="00DC6B4B"/>
    <w:rsid w:val="00DC6D1F"/>
    <w:rsid w:val="00DD241F"/>
    <w:rsid w:val="00DD29BE"/>
    <w:rsid w:val="00DD2B29"/>
    <w:rsid w:val="00DD2FC7"/>
    <w:rsid w:val="00DD642B"/>
    <w:rsid w:val="00DD68DF"/>
    <w:rsid w:val="00DD73F9"/>
    <w:rsid w:val="00DE30A2"/>
    <w:rsid w:val="00DE38D8"/>
    <w:rsid w:val="00DE5B57"/>
    <w:rsid w:val="00DE5EE7"/>
    <w:rsid w:val="00DE6980"/>
    <w:rsid w:val="00DE72A3"/>
    <w:rsid w:val="00DE7732"/>
    <w:rsid w:val="00DF0573"/>
    <w:rsid w:val="00DF1670"/>
    <w:rsid w:val="00DF17B9"/>
    <w:rsid w:val="00DF446B"/>
    <w:rsid w:val="00DF4AD0"/>
    <w:rsid w:val="00DF4D78"/>
    <w:rsid w:val="00DF6933"/>
    <w:rsid w:val="00E00CF7"/>
    <w:rsid w:val="00E01F9F"/>
    <w:rsid w:val="00E045CF"/>
    <w:rsid w:val="00E04AA9"/>
    <w:rsid w:val="00E062CA"/>
    <w:rsid w:val="00E07CF2"/>
    <w:rsid w:val="00E11AF7"/>
    <w:rsid w:val="00E1221D"/>
    <w:rsid w:val="00E1392A"/>
    <w:rsid w:val="00E13D6B"/>
    <w:rsid w:val="00E13D6E"/>
    <w:rsid w:val="00E14AB9"/>
    <w:rsid w:val="00E16D4A"/>
    <w:rsid w:val="00E1759C"/>
    <w:rsid w:val="00E20A74"/>
    <w:rsid w:val="00E20F36"/>
    <w:rsid w:val="00E21375"/>
    <w:rsid w:val="00E21395"/>
    <w:rsid w:val="00E24A30"/>
    <w:rsid w:val="00E24C4A"/>
    <w:rsid w:val="00E267E2"/>
    <w:rsid w:val="00E27D63"/>
    <w:rsid w:val="00E3428D"/>
    <w:rsid w:val="00E34A59"/>
    <w:rsid w:val="00E377FC"/>
    <w:rsid w:val="00E4215F"/>
    <w:rsid w:val="00E44100"/>
    <w:rsid w:val="00E44421"/>
    <w:rsid w:val="00E44550"/>
    <w:rsid w:val="00E45546"/>
    <w:rsid w:val="00E45E74"/>
    <w:rsid w:val="00E45EBD"/>
    <w:rsid w:val="00E52EEC"/>
    <w:rsid w:val="00E55135"/>
    <w:rsid w:val="00E61224"/>
    <w:rsid w:val="00E61A58"/>
    <w:rsid w:val="00E6307D"/>
    <w:rsid w:val="00E63CEF"/>
    <w:rsid w:val="00E64D59"/>
    <w:rsid w:val="00E650E1"/>
    <w:rsid w:val="00E66FC5"/>
    <w:rsid w:val="00E70312"/>
    <w:rsid w:val="00E70579"/>
    <w:rsid w:val="00E70F7E"/>
    <w:rsid w:val="00E711C5"/>
    <w:rsid w:val="00E7254D"/>
    <w:rsid w:val="00E736A7"/>
    <w:rsid w:val="00E74964"/>
    <w:rsid w:val="00E76153"/>
    <w:rsid w:val="00E76C3E"/>
    <w:rsid w:val="00E776BD"/>
    <w:rsid w:val="00E824AC"/>
    <w:rsid w:val="00E85A34"/>
    <w:rsid w:val="00E86836"/>
    <w:rsid w:val="00E86DEA"/>
    <w:rsid w:val="00E87522"/>
    <w:rsid w:val="00E878A3"/>
    <w:rsid w:val="00E90321"/>
    <w:rsid w:val="00E90A93"/>
    <w:rsid w:val="00E90FF9"/>
    <w:rsid w:val="00E93780"/>
    <w:rsid w:val="00E943B7"/>
    <w:rsid w:val="00E94B4D"/>
    <w:rsid w:val="00E9573F"/>
    <w:rsid w:val="00E9635B"/>
    <w:rsid w:val="00E976C9"/>
    <w:rsid w:val="00EA0CDE"/>
    <w:rsid w:val="00EA11AE"/>
    <w:rsid w:val="00EA2E7F"/>
    <w:rsid w:val="00EA3C07"/>
    <w:rsid w:val="00EA68D3"/>
    <w:rsid w:val="00EA7BC6"/>
    <w:rsid w:val="00EB0DFD"/>
    <w:rsid w:val="00EB0E51"/>
    <w:rsid w:val="00EB1171"/>
    <w:rsid w:val="00EB13E2"/>
    <w:rsid w:val="00EB487E"/>
    <w:rsid w:val="00EB645B"/>
    <w:rsid w:val="00EB7A46"/>
    <w:rsid w:val="00EB7BF3"/>
    <w:rsid w:val="00EC0175"/>
    <w:rsid w:val="00EC1807"/>
    <w:rsid w:val="00EC3445"/>
    <w:rsid w:val="00EC558D"/>
    <w:rsid w:val="00EC6836"/>
    <w:rsid w:val="00EC7448"/>
    <w:rsid w:val="00ED0216"/>
    <w:rsid w:val="00ED1268"/>
    <w:rsid w:val="00ED1F48"/>
    <w:rsid w:val="00ED3279"/>
    <w:rsid w:val="00ED3E27"/>
    <w:rsid w:val="00ED503E"/>
    <w:rsid w:val="00ED5625"/>
    <w:rsid w:val="00ED586C"/>
    <w:rsid w:val="00ED5BF4"/>
    <w:rsid w:val="00ED66E2"/>
    <w:rsid w:val="00EE1637"/>
    <w:rsid w:val="00EE2245"/>
    <w:rsid w:val="00EE258A"/>
    <w:rsid w:val="00EE3710"/>
    <w:rsid w:val="00EE3F41"/>
    <w:rsid w:val="00EE727A"/>
    <w:rsid w:val="00EF144E"/>
    <w:rsid w:val="00EF5BE6"/>
    <w:rsid w:val="00F0077A"/>
    <w:rsid w:val="00F00984"/>
    <w:rsid w:val="00F00BF7"/>
    <w:rsid w:val="00F01181"/>
    <w:rsid w:val="00F01C39"/>
    <w:rsid w:val="00F021EC"/>
    <w:rsid w:val="00F05024"/>
    <w:rsid w:val="00F075F7"/>
    <w:rsid w:val="00F07D51"/>
    <w:rsid w:val="00F11186"/>
    <w:rsid w:val="00F11B2E"/>
    <w:rsid w:val="00F11DA4"/>
    <w:rsid w:val="00F12670"/>
    <w:rsid w:val="00F13265"/>
    <w:rsid w:val="00F13CBD"/>
    <w:rsid w:val="00F13DA0"/>
    <w:rsid w:val="00F14B3B"/>
    <w:rsid w:val="00F1501A"/>
    <w:rsid w:val="00F27E50"/>
    <w:rsid w:val="00F3039A"/>
    <w:rsid w:val="00F3042C"/>
    <w:rsid w:val="00F31D30"/>
    <w:rsid w:val="00F35B96"/>
    <w:rsid w:val="00F37CDB"/>
    <w:rsid w:val="00F4015B"/>
    <w:rsid w:val="00F40583"/>
    <w:rsid w:val="00F42935"/>
    <w:rsid w:val="00F436F3"/>
    <w:rsid w:val="00F43A87"/>
    <w:rsid w:val="00F45BCD"/>
    <w:rsid w:val="00F47455"/>
    <w:rsid w:val="00F50507"/>
    <w:rsid w:val="00F5328D"/>
    <w:rsid w:val="00F5409B"/>
    <w:rsid w:val="00F549A9"/>
    <w:rsid w:val="00F55B9A"/>
    <w:rsid w:val="00F56308"/>
    <w:rsid w:val="00F60BDC"/>
    <w:rsid w:val="00F61CCC"/>
    <w:rsid w:val="00F6436E"/>
    <w:rsid w:val="00F660ED"/>
    <w:rsid w:val="00F66476"/>
    <w:rsid w:val="00F665B7"/>
    <w:rsid w:val="00F67496"/>
    <w:rsid w:val="00F67660"/>
    <w:rsid w:val="00F71BB8"/>
    <w:rsid w:val="00F73AF2"/>
    <w:rsid w:val="00F73F9C"/>
    <w:rsid w:val="00F74D0F"/>
    <w:rsid w:val="00F76B6A"/>
    <w:rsid w:val="00F76F16"/>
    <w:rsid w:val="00F7706B"/>
    <w:rsid w:val="00F80026"/>
    <w:rsid w:val="00F80BD5"/>
    <w:rsid w:val="00F81555"/>
    <w:rsid w:val="00F84DCF"/>
    <w:rsid w:val="00F85651"/>
    <w:rsid w:val="00F87806"/>
    <w:rsid w:val="00F93B53"/>
    <w:rsid w:val="00F95129"/>
    <w:rsid w:val="00FA0D2B"/>
    <w:rsid w:val="00FA27BC"/>
    <w:rsid w:val="00FA5277"/>
    <w:rsid w:val="00FA788D"/>
    <w:rsid w:val="00FA7D41"/>
    <w:rsid w:val="00FA7EE7"/>
    <w:rsid w:val="00FB1784"/>
    <w:rsid w:val="00FB1974"/>
    <w:rsid w:val="00FB2B86"/>
    <w:rsid w:val="00FB43DE"/>
    <w:rsid w:val="00FB4AAB"/>
    <w:rsid w:val="00FB5489"/>
    <w:rsid w:val="00FB61FA"/>
    <w:rsid w:val="00FC0D9E"/>
    <w:rsid w:val="00FC1872"/>
    <w:rsid w:val="00FC1B5B"/>
    <w:rsid w:val="00FC321B"/>
    <w:rsid w:val="00FC32D0"/>
    <w:rsid w:val="00FD056B"/>
    <w:rsid w:val="00FD12F3"/>
    <w:rsid w:val="00FD200F"/>
    <w:rsid w:val="00FD4C59"/>
    <w:rsid w:val="00FE14CA"/>
    <w:rsid w:val="00FE40B2"/>
    <w:rsid w:val="00FE6BB9"/>
    <w:rsid w:val="00FE7192"/>
    <w:rsid w:val="00FF5172"/>
    <w:rsid w:val="00FF6104"/>
    <w:rsid w:val="00FF6422"/>
    <w:rsid w:val="00FF7D31"/>
    <w:rsid w:val="014F2F1A"/>
    <w:rsid w:val="015359AB"/>
    <w:rsid w:val="01684CDC"/>
    <w:rsid w:val="016F7F01"/>
    <w:rsid w:val="017725E7"/>
    <w:rsid w:val="01956EE8"/>
    <w:rsid w:val="02691BF4"/>
    <w:rsid w:val="02722DB7"/>
    <w:rsid w:val="02813929"/>
    <w:rsid w:val="02814CE3"/>
    <w:rsid w:val="02B770D9"/>
    <w:rsid w:val="02E92253"/>
    <w:rsid w:val="0301674D"/>
    <w:rsid w:val="035407CA"/>
    <w:rsid w:val="035A20C8"/>
    <w:rsid w:val="03804CF4"/>
    <w:rsid w:val="0397409D"/>
    <w:rsid w:val="03D754F6"/>
    <w:rsid w:val="03FC4557"/>
    <w:rsid w:val="03FF4716"/>
    <w:rsid w:val="04381AAF"/>
    <w:rsid w:val="048B1C2C"/>
    <w:rsid w:val="04F557F5"/>
    <w:rsid w:val="055A71F6"/>
    <w:rsid w:val="05834324"/>
    <w:rsid w:val="058541DA"/>
    <w:rsid w:val="05D257D1"/>
    <w:rsid w:val="05D46F4C"/>
    <w:rsid w:val="0602185E"/>
    <w:rsid w:val="064364B4"/>
    <w:rsid w:val="0664643D"/>
    <w:rsid w:val="06820EF1"/>
    <w:rsid w:val="068C0E4D"/>
    <w:rsid w:val="069254AF"/>
    <w:rsid w:val="069270EA"/>
    <w:rsid w:val="06D40937"/>
    <w:rsid w:val="06F643EA"/>
    <w:rsid w:val="06FD61D2"/>
    <w:rsid w:val="074A2ABE"/>
    <w:rsid w:val="07A6697C"/>
    <w:rsid w:val="07C76145"/>
    <w:rsid w:val="07E74731"/>
    <w:rsid w:val="07F72D4C"/>
    <w:rsid w:val="0808438A"/>
    <w:rsid w:val="084368FC"/>
    <w:rsid w:val="088428E1"/>
    <w:rsid w:val="088D4A91"/>
    <w:rsid w:val="08C43481"/>
    <w:rsid w:val="08CE0E70"/>
    <w:rsid w:val="08EB72CB"/>
    <w:rsid w:val="08FC1A5A"/>
    <w:rsid w:val="09037A4E"/>
    <w:rsid w:val="091D7F1A"/>
    <w:rsid w:val="09934A8C"/>
    <w:rsid w:val="0998630C"/>
    <w:rsid w:val="09B23105"/>
    <w:rsid w:val="09BE4AEA"/>
    <w:rsid w:val="09BE6896"/>
    <w:rsid w:val="09DD20B9"/>
    <w:rsid w:val="09F30059"/>
    <w:rsid w:val="09FD047C"/>
    <w:rsid w:val="0A251E3B"/>
    <w:rsid w:val="0A293CC2"/>
    <w:rsid w:val="0A556E28"/>
    <w:rsid w:val="0A751D51"/>
    <w:rsid w:val="0A806FE6"/>
    <w:rsid w:val="0A855A98"/>
    <w:rsid w:val="0ADF28D1"/>
    <w:rsid w:val="0AEE00A0"/>
    <w:rsid w:val="0B150E0F"/>
    <w:rsid w:val="0B311460"/>
    <w:rsid w:val="0B507865"/>
    <w:rsid w:val="0B6544D2"/>
    <w:rsid w:val="0B6A6F81"/>
    <w:rsid w:val="0B7D4716"/>
    <w:rsid w:val="0B850711"/>
    <w:rsid w:val="0B8A37AE"/>
    <w:rsid w:val="0B9F28B8"/>
    <w:rsid w:val="0BA8720D"/>
    <w:rsid w:val="0BBA1E62"/>
    <w:rsid w:val="0C0C665E"/>
    <w:rsid w:val="0C254F18"/>
    <w:rsid w:val="0C506870"/>
    <w:rsid w:val="0C617140"/>
    <w:rsid w:val="0C6D3894"/>
    <w:rsid w:val="0C723619"/>
    <w:rsid w:val="0C960A6A"/>
    <w:rsid w:val="0CA06AD2"/>
    <w:rsid w:val="0CBF3301"/>
    <w:rsid w:val="0CC21DAB"/>
    <w:rsid w:val="0CC8351A"/>
    <w:rsid w:val="0CD0081C"/>
    <w:rsid w:val="0CF8203D"/>
    <w:rsid w:val="0CFD4ED4"/>
    <w:rsid w:val="0D392A89"/>
    <w:rsid w:val="0D631CE5"/>
    <w:rsid w:val="0DAE6B51"/>
    <w:rsid w:val="0DCD276C"/>
    <w:rsid w:val="0DED3A56"/>
    <w:rsid w:val="0E651A19"/>
    <w:rsid w:val="0E6A133C"/>
    <w:rsid w:val="0E734839"/>
    <w:rsid w:val="0E7870C4"/>
    <w:rsid w:val="0E9061BD"/>
    <w:rsid w:val="0EC12E6D"/>
    <w:rsid w:val="0ED165FA"/>
    <w:rsid w:val="0ED77BF5"/>
    <w:rsid w:val="0EDD2545"/>
    <w:rsid w:val="0F1D2352"/>
    <w:rsid w:val="0F442697"/>
    <w:rsid w:val="0F5862B1"/>
    <w:rsid w:val="0F680AEC"/>
    <w:rsid w:val="0F7B53FF"/>
    <w:rsid w:val="0F81333F"/>
    <w:rsid w:val="0F8A4AEB"/>
    <w:rsid w:val="0FA07739"/>
    <w:rsid w:val="0FC60FF1"/>
    <w:rsid w:val="0FF24DCB"/>
    <w:rsid w:val="102B7B10"/>
    <w:rsid w:val="108A631E"/>
    <w:rsid w:val="10B85DBF"/>
    <w:rsid w:val="10D26BB3"/>
    <w:rsid w:val="10D3396F"/>
    <w:rsid w:val="10DA6853"/>
    <w:rsid w:val="11084D00"/>
    <w:rsid w:val="11247DA4"/>
    <w:rsid w:val="11351B87"/>
    <w:rsid w:val="11367223"/>
    <w:rsid w:val="11463498"/>
    <w:rsid w:val="11531D43"/>
    <w:rsid w:val="11705255"/>
    <w:rsid w:val="11956DB9"/>
    <w:rsid w:val="11972241"/>
    <w:rsid w:val="11A02C0B"/>
    <w:rsid w:val="11C0331A"/>
    <w:rsid w:val="126342DC"/>
    <w:rsid w:val="126A3CE5"/>
    <w:rsid w:val="12804EC3"/>
    <w:rsid w:val="12B9724A"/>
    <w:rsid w:val="12ED108C"/>
    <w:rsid w:val="131F5F39"/>
    <w:rsid w:val="133A4BEB"/>
    <w:rsid w:val="134176DB"/>
    <w:rsid w:val="13627322"/>
    <w:rsid w:val="13753078"/>
    <w:rsid w:val="13876133"/>
    <w:rsid w:val="139D423C"/>
    <w:rsid w:val="139E459A"/>
    <w:rsid w:val="13DA36B2"/>
    <w:rsid w:val="14076394"/>
    <w:rsid w:val="143E021E"/>
    <w:rsid w:val="14674D59"/>
    <w:rsid w:val="148E216F"/>
    <w:rsid w:val="14A254B8"/>
    <w:rsid w:val="14BC5E70"/>
    <w:rsid w:val="14C672CD"/>
    <w:rsid w:val="14DE2975"/>
    <w:rsid w:val="15013288"/>
    <w:rsid w:val="150C509E"/>
    <w:rsid w:val="15164B5B"/>
    <w:rsid w:val="157F0C2D"/>
    <w:rsid w:val="1584515F"/>
    <w:rsid w:val="159630D3"/>
    <w:rsid w:val="15997100"/>
    <w:rsid w:val="15997116"/>
    <w:rsid w:val="15C209F0"/>
    <w:rsid w:val="15C42D05"/>
    <w:rsid w:val="15FA376A"/>
    <w:rsid w:val="16024EBD"/>
    <w:rsid w:val="16041EF6"/>
    <w:rsid w:val="16071DBE"/>
    <w:rsid w:val="162738EA"/>
    <w:rsid w:val="162C0A4E"/>
    <w:rsid w:val="16493FE4"/>
    <w:rsid w:val="168D5D74"/>
    <w:rsid w:val="168E0CC6"/>
    <w:rsid w:val="169B6E04"/>
    <w:rsid w:val="16C24E28"/>
    <w:rsid w:val="16E469AA"/>
    <w:rsid w:val="17207639"/>
    <w:rsid w:val="173C1970"/>
    <w:rsid w:val="175C5C65"/>
    <w:rsid w:val="17901906"/>
    <w:rsid w:val="17DD7C1B"/>
    <w:rsid w:val="1819223D"/>
    <w:rsid w:val="1826077F"/>
    <w:rsid w:val="18577D43"/>
    <w:rsid w:val="1885777E"/>
    <w:rsid w:val="18973FA0"/>
    <w:rsid w:val="18D02ADB"/>
    <w:rsid w:val="18D331A5"/>
    <w:rsid w:val="19431471"/>
    <w:rsid w:val="19474AD7"/>
    <w:rsid w:val="194F02E7"/>
    <w:rsid w:val="194F7866"/>
    <w:rsid w:val="19857774"/>
    <w:rsid w:val="19CB1EC2"/>
    <w:rsid w:val="19DB1E50"/>
    <w:rsid w:val="1A1D29AB"/>
    <w:rsid w:val="1A210B98"/>
    <w:rsid w:val="1A303D97"/>
    <w:rsid w:val="1A960820"/>
    <w:rsid w:val="1ABF7614"/>
    <w:rsid w:val="1AC35713"/>
    <w:rsid w:val="1AC63CB3"/>
    <w:rsid w:val="1ACB2EAF"/>
    <w:rsid w:val="1AEB0597"/>
    <w:rsid w:val="1B2E229B"/>
    <w:rsid w:val="1B3255AD"/>
    <w:rsid w:val="1B474F93"/>
    <w:rsid w:val="1B5631C8"/>
    <w:rsid w:val="1B756948"/>
    <w:rsid w:val="1B9F78D5"/>
    <w:rsid w:val="1BB30234"/>
    <w:rsid w:val="1BB832DA"/>
    <w:rsid w:val="1BF352DE"/>
    <w:rsid w:val="1C0B491D"/>
    <w:rsid w:val="1C116F86"/>
    <w:rsid w:val="1C44686C"/>
    <w:rsid w:val="1C4B3813"/>
    <w:rsid w:val="1C807FCE"/>
    <w:rsid w:val="1C825FF9"/>
    <w:rsid w:val="1CBB092F"/>
    <w:rsid w:val="1CC57CC9"/>
    <w:rsid w:val="1CC670EE"/>
    <w:rsid w:val="1CCC3229"/>
    <w:rsid w:val="1CEE1F73"/>
    <w:rsid w:val="1CFA75DD"/>
    <w:rsid w:val="1CFC16DE"/>
    <w:rsid w:val="1D1A2F73"/>
    <w:rsid w:val="1D265AD0"/>
    <w:rsid w:val="1D4860AC"/>
    <w:rsid w:val="1D4F6142"/>
    <w:rsid w:val="1D527E58"/>
    <w:rsid w:val="1D714C82"/>
    <w:rsid w:val="1D8532A9"/>
    <w:rsid w:val="1DC62616"/>
    <w:rsid w:val="1DD9496F"/>
    <w:rsid w:val="1E382A67"/>
    <w:rsid w:val="1E42613D"/>
    <w:rsid w:val="1E484788"/>
    <w:rsid w:val="1E567115"/>
    <w:rsid w:val="1E634E61"/>
    <w:rsid w:val="1E6B2E70"/>
    <w:rsid w:val="1F3A72BD"/>
    <w:rsid w:val="1F4D4DB6"/>
    <w:rsid w:val="1F8A1413"/>
    <w:rsid w:val="1FA76E67"/>
    <w:rsid w:val="1FA90056"/>
    <w:rsid w:val="1FB65710"/>
    <w:rsid w:val="1FE1584E"/>
    <w:rsid w:val="1FE529F2"/>
    <w:rsid w:val="2006569D"/>
    <w:rsid w:val="20477A01"/>
    <w:rsid w:val="206072F7"/>
    <w:rsid w:val="208E6E0B"/>
    <w:rsid w:val="209A09D7"/>
    <w:rsid w:val="20A82056"/>
    <w:rsid w:val="20CB5BF0"/>
    <w:rsid w:val="20D94915"/>
    <w:rsid w:val="211760BC"/>
    <w:rsid w:val="212F0B83"/>
    <w:rsid w:val="215B5B29"/>
    <w:rsid w:val="21E563CE"/>
    <w:rsid w:val="22124A61"/>
    <w:rsid w:val="225C5D5B"/>
    <w:rsid w:val="22632497"/>
    <w:rsid w:val="22AA67A1"/>
    <w:rsid w:val="22B51778"/>
    <w:rsid w:val="22E74322"/>
    <w:rsid w:val="22F418E1"/>
    <w:rsid w:val="22FB2088"/>
    <w:rsid w:val="230A71CF"/>
    <w:rsid w:val="23112E7E"/>
    <w:rsid w:val="23576FB8"/>
    <w:rsid w:val="23AF1AC9"/>
    <w:rsid w:val="23AF4E6A"/>
    <w:rsid w:val="23B90846"/>
    <w:rsid w:val="23D17176"/>
    <w:rsid w:val="23E3329B"/>
    <w:rsid w:val="23EC3A28"/>
    <w:rsid w:val="23EE4289"/>
    <w:rsid w:val="24151B98"/>
    <w:rsid w:val="241A2C4F"/>
    <w:rsid w:val="242129F9"/>
    <w:rsid w:val="24465B52"/>
    <w:rsid w:val="24692A5B"/>
    <w:rsid w:val="24712A8F"/>
    <w:rsid w:val="24842A91"/>
    <w:rsid w:val="24EE4A55"/>
    <w:rsid w:val="24F84BD0"/>
    <w:rsid w:val="250D607D"/>
    <w:rsid w:val="25164C41"/>
    <w:rsid w:val="25201620"/>
    <w:rsid w:val="25537B5A"/>
    <w:rsid w:val="255A1335"/>
    <w:rsid w:val="25964780"/>
    <w:rsid w:val="259F4F69"/>
    <w:rsid w:val="25A4702B"/>
    <w:rsid w:val="25CB55DF"/>
    <w:rsid w:val="25FC0E2B"/>
    <w:rsid w:val="26044FC2"/>
    <w:rsid w:val="262B4C3B"/>
    <w:rsid w:val="262F2B86"/>
    <w:rsid w:val="26520013"/>
    <w:rsid w:val="26566C35"/>
    <w:rsid w:val="267635D5"/>
    <w:rsid w:val="26922828"/>
    <w:rsid w:val="26BA798F"/>
    <w:rsid w:val="26C76569"/>
    <w:rsid w:val="26EC188F"/>
    <w:rsid w:val="270F110A"/>
    <w:rsid w:val="27101906"/>
    <w:rsid w:val="273C75C1"/>
    <w:rsid w:val="27553532"/>
    <w:rsid w:val="27FF38FF"/>
    <w:rsid w:val="28173EBF"/>
    <w:rsid w:val="281C62D3"/>
    <w:rsid w:val="2828479D"/>
    <w:rsid w:val="28452A97"/>
    <w:rsid w:val="285F5C4A"/>
    <w:rsid w:val="28C45743"/>
    <w:rsid w:val="28C86A2E"/>
    <w:rsid w:val="28D93758"/>
    <w:rsid w:val="28E45B3C"/>
    <w:rsid w:val="28E818A5"/>
    <w:rsid w:val="294206A7"/>
    <w:rsid w:val="29617CE2"/>
    <w:rsid w:val="299B236E"/>
    <w:rsid w:val="29AC7287"/>
    <w:rsid w:val="29B24EF5"/>
    <w:rsid w:val="29E32AA7"/>
    <w:rsid w:val="29E35EE3"/>
    <w:rsid w:val="2A4A7932"/>
    <w:rsid w:val="2A5C63A7"/>
    <w:rsid w:val="2A6D6F90"/>
    <w:rsid w:val="2A864C63"/>
    <w:rsid w:val="2AA00028"/>
    <w:rsid w:val="2AB45DF7"/>
    <w:rsid w:val="2AB82483"/>
    <w:rsid w:val="2AD9619B"/>
    <w:rsid w:val="2AE13145"/>
    <w:rsid w:val="2AE40EA9"/>
    <w:rsid w:val="2AFC6512"/>
    <w:rsid w:val="2B186F23"/>
    <w:rsid w:val="2B6007B5"/>
    <w:rsid w:val="2B6911F0"/>
    <w:rsid w:val="2B995E7A"/>
    <w:rsid w:val="2BAB1B4B"/>
    <w:rsid w:val="2BB370F2"/>
    <w:rsid w:val="2BE14742"/>
    <w:rsid w:val="2BFD18E1"/>
    <w:rsid w:val="2C28319A"/>
    <w:rsid w:val="2C393A8C"/>
    <w:rsid w:val="2C3E0754"/>
    <w:rsid w:val="2C5954AF"/>
    <w:rsid w:val="2C683624"/>
    <w:rsid w:val="2C765850"/>
    <w:rsid w:val="2CA13196"/>
    <w:rsid w:val="2CA15C86"/>
    <w:rsid w:val="2CC258F1"/>
    <w:rsid w:val="2D0A2886"/>
    <w:rsid w:val="2D14722D"/>
    <w:rsid w:val="2D201C06"/>
    <w:rsid w:val="2D497CFA"/>
    <w:rsid w:val="2D531A92"/>
    <w:rsid w:val="2D5559EE"/>
    <w:rsid w:val="2D5B4AF5"/>
    <w:rsid w:val="2D6C1624"/>
    <w:rsid w:val="2D6E6496"/>
    <w:rsid w:val="2D9F2F8E"/>
    <w:rsid w:val="2DA94576"/>
    <w:rsid w:val="2DEF5B92"/>
    <w:rsid w:val="2DFC51E3"/>
    <w:rsid w:val="2E11510E"/>
    <w:rsid w:val="2E85644A"/>
    <w:rsid w:val="2F0D69E0"/>
    <w:rsid w:val="2F2D580F"/>
    <w:rsid w:val="2F5D284E"/>
    <w:rsid w:val="2F7C0FE4"/>
    <w:rsid w:val="2FBD50C9"/>
    <w:rsid w:val="2FD55076"/>
    <w:rsid w:val="2FD82029"/>
    <w:rsid w:val="2FE02E0F"/>
    <w:rsid w:val="2FE82F4B"/>
    <w:rsid w:val="2FF54433"/>
    <w:rsid w:val="301B1DEB"/>
    <w:rsid w:val="303A498C"/>
    <w:rsid w:val="304361D7"/>
    <w:rsid w:val="30971A44"/>
    <w:rsid w:val="30A71A03"/>
    <w:rsid w:val="30B76DD3"/>
    <w:rsid w:val="31200CA6"/>
    <w:rsid w:val="312B25D1"/>
    <w:rsid w:val="312D07C4"/>
    <w:rsid w:val="31607A38"/>
    <w:rsid w:val="316D61ED"/>
    <w:rsid w:val="31A31257"/>
    <w:rsid w:val="31C82735"/>
    <w:rsid w:val="31D26289"/>
    <w:rsid w:val="31F85B08"/>
    <w:rsid w:val="31FF6390"/>
    <w:rsid w:val="32B43F62"/>
    <w:rsid w:val="32BE4472"/>
    <w:rsid w:val="32D0708B"/>
    <w:rsid w:val="331368C5"/>
    <w:rsid w:val="33237731"/>
    <w:rsid w:val="33242675"/>
    <w:rsid w:val="332544EC"/>
    <w:rsid w:val="33427A8A"/>
    <w:rsid w:val="3345492A"/>
    <w:rsid w:val="335A0A43"/>
    <w:rsid w:val="337D1DE2"/>
    <w:rsid w:val="33A07769"/>
    <w:rsid w:val="33F16546"/>
    <w:rsid w:val="341546E7"/>
    <w:rsid w:val="34797042"/>
    <w:rsid w:val="348120F8"/>
    <w:rsid w:val="34815805"/>
    <w:rsid w:val="34891A30"/>
    <w:rsid w:val="34CC4C21"/>
    <w:rsid w:val="34E53739"/>
    <w:rsid w:val="352168AD"/>
    <w:rsid w:val="353460D9"/>
    <w:rsid w:val="35446D13"/>
    <w:rsid w:val="35491572"/>
    <w:rsid w:val="35577A6D"/>
    <w:rsid w:val="357655DF"/>
    <w:rsid w:val="35B244B3"/>
    <w:rsid w:val="35BC2A54"/>
    <w:rsid w:val="35BE6A26"/>
    <w:rsid w:val="361F664A"/>
    <w:rsid w:val="36680F65"/>
    <w:rsid w:val="366F636A"/>
    <w:rsid w:val="367E431F"/>
    <w:rsid w:val="36922539"/>
    <w:rsid w:val="36A30626"/>
    <w:rsid w:val="36AE7720"/>
    <w:rsid w:val="36D23FC0"/>
    <w:rsid w:val="36E1278F"/>
    <w:rsid w:val="371E0E9F"/>
    <w:rsid w:val="375A1A64"/>
    <w:rsid w:val="37720598"/>
    <w:rsid w:val="37A76CB0"/>
    <w:rsid w:val="37E7463B"/>
    <w:rsid w:val="37E86146"/>
    <w:rsid w:val="3832060D"/>
    <w:rsid w:val="383E5D13"/>
    <w:rsid w:val="38527D74"/>
    <w:rsid w:val="38977FAC"/>
    <w:rsid w:val="38CE00A1"/>
    <w:rsid w:val="38D07720"/>
    <w:rsid w:val="38D35437"/>
    <w:rsid w:val="38E64434"/>
    <w:rsid w:val="38E94A2A"/>
    <w:rsid w:val="38F33B9F"/>
    <w:rsid w:val="38F513D0"/>
    <w:rsid w:val="39072DA0"/>
    <w:rsid w:val="39314D94"/>
    <w:rsid w:val="39342951"/>
    <w:rsid w:val="3952420A"/>
    <w:rsid w:val="396335F9"/>
    <w:rsid w:val="39901D2E"/>
    <w:rsid w:val="39B642D6"/>
    <w:rsid w:val="39C84498"/>
    <w:rsid w:val="39DF463D"/>
    <w:rsid w:val="39E81A16"/>
    <w:rsid w:val="39F34274"/>
    <w:rsid w:val="3A0A740F"/>
    <w:rsid w:val="3A1174B5"/>
    <w:rsid w:val="3A3C3F4B"/>
    <w:rsid w:val="3A447CED"/>
    <w:rsid w:val="3A5D0A22"/>
    <w:rsid w:val="3A8F0EDB"/>
    <w:rsid w:val="3ACB39E3"/>
    <w:rsid w:val="3B370CF3"/>
    <w:rsid w:val="3B7836E3"/>
    <w:rsid w:val="3B7A44BB"/>
    <w:rsid w:val="3B7D0951"/>
    <w:rsid w:val="3B834070"/>
    <w:rsid w:val="3B8E6287"/>
    <w:rsid w:val="3BE07F48"/>
    <w:rsid w:val="3C401E1A"/>
    <w:rsid w:val="3C980B42"/>
    <w:rsid w:val="3C980E12"/>
    <w:rsid w:val="3CA778D9"/>
    <w:rsid w:val="3CAD4F6F"/>
    <w:rsid w:val="3CDF06E2"/>
    <w:rsid w:val="3CDF74BE"/>
    <w:rsid w:val="3CF2467D"/>
    <w:rsid w:val="3D3B61A9"/>
    <w:rsid w:val="3D4439D8"/>
    <w:rsid w:val="3D520A1E"/>
    <w:rsid w:val="3D6354EC"/>
    <w:rsid w:val="3D803C6B"/>
    <w:rsid w:val="3D8E29CA"/>
    <w:rsid w:val="3D9B4629"/>
    <w:rsid w:val="3DC414CC"/>
    <w:rsid w:val="3DC829BD"/>
    <w:rsid w:val="3DE43B38"/>
    <w:rsid w:val="3E197238"/>
    <w:rsid w:val="3E24017F"/>
    <w:rsid w:val="3E3B2304"/>
    <w:rsid w:val="3E7876A1"/>
    <w:rsid w:val="3E8149E8"/>
    <w:rsid w:val="3EA52028"/>
    <w:rsid w:val="3EA60FBC"/>
    <w:rsid w:val="3EBA58E0"/>
    <w:rsid w:val="3EC36BFF"/>
    <w:rsid w:val="3EC6214E"/>
    <w:rsid w:val="3F466DAD"/>
    <w:rsid w:val="3F674697"/>
    <w:rsid w:val="3F794848"/>
    <w:rsid w:val="3FA34BA7"/>
    <w:rsid w:val="40196D3B"/>
    <w:rsid w:val="402C4D17"/>
    <w:rsid w:val="40544683"/>
    <w:rsid w:val="405764E0"/>
    <w:rsid w:val="40745E25"/>
    <w:rsid w:val="40B1416E"/>
    <w:rsid w:val="40B8754E"/>
    <w:rsid w:val="40E6701E"/>
    <w:rsid w:val="40F06EB9"/>
    <w:rsid w:val="410B6192"/>
    <w:rsid w:val="410F0271"/>
    <w:rsid w:val="413269B3"/>
    <w:rsid w:val="4146051F"/>
    <w:rsid w:val="414A2837"/>
    <w:rsid w:val="41BD0421"/>
    <w:rsid w:val="41D00B16"/>
    <w:rsid w:val="41D61D60"/>
    <w:rsid w:val="41EE01F7"/>
    <w:rsid w:val="41F86803"/>
    <w:rsid w:val="42164393"/>
    <w:rsid w:val="42202300"/>
    <w:rsid w:val="42502DBA"/>
    <w:rsid w:val="425F3B61"/>
    <w:rsid w:val="427C3D01"/>
    <w:rsid w:val="428329AE"/>
    <w:rsid w:val="42950D32"/>
    <w:rsid w:val="42D16E15"/>
    <w:rsid w:val="42E73C50"/>
    <w:rsid w:val="42FE308B"/>
    <w:rsid w:val="430D6D78"/>
    <w:rsid w:val="4327159F"/>
    <w:rsid w:val="432D34DB"/>
    <w:rsid w:val="434A55A8"/>
    <w:rsid w:val="436215CF"/>
    <w:rsid w:val="43826E71"/>
    <w:rsid w:val="438C223A"/>
    <w:rsid w:val="439D2630"/>
    <w:rsid w:val="43EA0710"/>
    <w:rsid w:val="44507E68"/>
    <w:rsid w:val="44800C43"/>
    <w:rsid w:val="44DB4FCD"/>
    <w:rsid w:val="451B11A5"/>
    <w:rsid w:val="453A68D8"/>
    <w:rsid w:val="45803D6A"/>
    <w:rsid w:val="45880DC1"/>
    <w:rsid w:val="45B34DBA"/>
    <w:rsid w:val="45BA5886"/>
    <w:rsid w:val="45DF4336"/>
    <w:rsid w:val="460F1470"/>
    <w:rsid w:val="46276F82"/>
    <w:rsid w:val="4630621B"/>
    <w:rsid w:val="46483BF1"/>
    <w:rsid w:val="46C44CB1"/>
    <w:rsid w:val="46D31D07"/>
    <w:rsid w:val="46D65712"/>
    <w:rsid w:val="472C71B9"/>
    <w:rsid w:val="473D19FE"/>
    <w:rsid w:val="47E27C6C"/>
    <w:rsid w:val="48184CDA"/>
    <w:rsid w:val="48440270"/>
    <w:rsid w:val="488055D6"/>
    <w:rsid w:val="489216CA"/>
    <w:rsid w:val="48B07259"/>
    <w:rsid w:val="48F641E3"/>
    <w:rsid w:val="49041B1F"/>
    <w:rsid w:val="49143F28"/>
    <w:rsid w:val="491C4DB9"/>
    <w:rsid w:val="493E7D1C"/>
    <w:rsid w:val="498052E2"/>
    <w:rsid w:val="49837572"/>
    <w:rsid w:val="498B75D3"/>
    <w:rsid w:val="49967D39"/>
    <w:rsid w:val="4A327118"/>
    <w:rsid w:val="4A473C46"/>
    <w:rsid w:val="4A507F1D"/>
    <w:rsid w:val="4A514B3A"/>
    <w:rsid w:val="4A595E16"/>
    <w:rsid w:val="4A6B4CE4"/>
    <w:rsid w:val="4A957C5E"/>
    <w:rsid w:val="4A991554"/>
    <w:rsid w:val="4A995574"/>
    <w:rsid w:val="4AFB6587"/>
    <w:rsid w:val="4B13134E"/>
    <w:rsid w:val="4B232B6E"/>
    <w:rsid w:val="4B387251"/>
    <w:rsid w:val="4B8003F3"/>
    <w:rsid w:val="4B895F92"/>
    <w:rsid w:val="4BA86E5C"/>
    <w:rsid w:val="4BFA2797"/>
    <w:rsid w:val="4BFF0E28"/>
    <w:rsid w:val="4C1F4452"/>
    <w:rsid w:val="4C4A4B42"/>
    <w:rsid w:val="4C7E5299"/>
    <w:rsid w:val="4C8D50BF"/>
    <w:rsid w:val="4C963B70"/>
    <w:rsid w:val="4CA54603"/>
    <w:rsid w:val="4CD14D2B"/>
    <w:rsid w:val="4CD83308"/>
    <w:rsid w:val="4CED2962"/>
    <w:rsid w:val="4CF813FD"/>
    <w:rsid w:val="4D230C0D"/>
    <w:rsid w:val="4D4E7CD3"/>
    <w:rsid w:val="4DB43701"/>
    <w:rsid w:val="4DDD23AC"/>
    <w:rsid w:val="4DEF4CFA"/>
    <w:rsid w:val="4DF31C11"/>
    <w:rsid w:val="4DFD2351"/>
    <w:rsid w:val="4E0A160C"/>
    <w:rsid w:val="4E2B1A47"/>
    <w:rsid w:val="4E432C41"/>
    <w:rsid w:val="4ED1623E"/>
    <w:rsid w:val="4EFB7EDE"/>
    <w:rsid w:val="4F1F1701"/>
    <w:rsid w:val="4F4D11C7"/>
    <w:rsid w:val="4F575A13"/>
    <w:rsid w:val="4F733441"/>
    <w:rsid w:val="4F750D06"/>
    <w:rsid w:val="4F9E44CA"/>
    <w:rsid w:val="4FA770AE"/>
    <w:rsid w:val="4FB94E78"/>
    <w:rsid w:val="4FCF1816"/>
    <w:rsid w:val="4FF0542B"/>
    <w:rsid w:val="50092F8F"/>
    <w:rsid w:val="501854D6"/>
    <w:rsid w:val="50360195"/>
    <w:rsid w:val="50553563"/>
    <w:rsid w:val="50592A1A"/>
    <w:rsid w:val="506F5409"/>
    <w:rsid w:val="507E1EEF"/>
    <w:rsid w:val="50DF24D8"/>
    <w:rsid w:val="50E716C8"/>
    <w:rsid w:val="50FA7977"/>
    <w:rsid w:val="50FB03C4"/>
    <w:rsid w:val="51686850"/>
    <w:rsid w:val="517A7E74"/>
    <w:rsid w:val="517C218F"/>
    <w:rsid w:val="51B17968"/>
    <w:rsid w:val="51ED5DCB"/>
    <w:rsid w:val="51EE6382"/>
    <w:rsid w:val="522B3695"/>
    <w:rsid w:val="522F353D"/>
    <w:rsid w:val="5248671B"/>
    <w:rsid w:val="524F3B94"/>
    <w:rsid w:val="52751C0F"/>
    <w:rsid w:val="52D4340A"/>
    <w:rsid w:val="52E10787"/>
    <w:rsid w:val="5367331F"/>
    <w:rsid w:val="53A652BB"/>
    <w:rsid w:val="53C9620D"/>
    <w:rsid w:val="53F971F0"/>
    <w:rsid w:val="54001E25"/>
    <w:rsid w:val="540E49BE"/>
    <w:rsid w:val="54203525"/>
    <w:rsid w:val="545661A8"/>
    <w:rsid w:val="54847625"/>
    <w:rsid w:val="54B0541D"/>
    <w:rsid w:val="54B247BB"/>
    <w:rsid w:val="54EE5947"/>
    <w:rsid w:val="5513022F"/>
    <w:rsid w:val="55501CD9"/>
    <w:rsid w:val="55663A71"/>
    <w:rsid w:val="559F3434"/>
    <w:rsid w:val="55C62DF5"/>
    <w:rsid w:val="55DF7D1C"/>
    <w:rsid w:val="55EE7739"/>
    <w:rsid w:val="55F62827"/>
    <w:rsid w:val="55FE64C0"/>
    <w:rsid w:val="5630671D"/>
    <w:rsid w:val="5632011C"/>
    <w:rsid w:val="563A356B"/>
    <w:rsid w:val="56621453"/>
    <w:rsid w:val="56783306"/>
    <w:rsid w:val="568A6752"/>
    <w:rsid w:val="568D436A"/>
    <w:rsid w:val="56B055BC"/>
    <w:rsid w:val="56C1107F"/>
    <w:rsid w:val="56DE235C"/>
    <w:rsid w:val="56FD54DC"/>
    <w:rsid w:val="570A0C39"/>
    <w:rsid w:val="570A5A0C"/>
    <w:rsid w:val="574A459A"/>
    <w:rsid w:val="57507EF7"/>
    <w:rsid w:val="57530EB6"/>
    <w:rsid w:val="57652950"/>
    <w:rsid w:val="576615A2"/>
    <w:rsid w:val="57A37B3F"/>
    <w:rsid w:val="57DE176D"/>
    <w:rsid w:val="58346AE0"/>
    <w:rsid w:val="58461A4D"/>
    <w:rsid w:val="5852271D"/>
    <w:rsid w:val="58706933"/>
    <w:rsid w:val="589A4E1B"/>
    <w:rsid w:val="5904690A"/>
    <w:rsid w:val="591A2A68"/>
    <w:rsid w:val="592336D0"/>
    <w:rsid w:val="59273E6A"/>
    <w:rsid w:val="59445D3E"/>
    <w:rsid w:val="595479FF"/>
    <w:rsid w:val="598E14FD"/>
    <w:rsid w:val="59E3110A"/>
    <w:rsid w:val="59F61F47"/>
    <w:rsid w:val="5A0A19A8"/>
    <w:rsid w:val="5A15589C"/>
    <w:rsid w:val="5A347622"/>
    <w:rsid w:val="5A3C7DAC"/>
    <w:rsid w:val="5A3F268A"/>
    <w:rsid w:val="5A965ED7"/>
    <w:rsid w:val="5A9F65A3"/>
    <w:rsid w:val="5AAC5E8A"/>
    <w:rsid w:val="5AD219D2"/>
    <w:rsid w:val="5B4051A5"/>
    <w:rsid w:val="5B7C29AB"/>
    <w:rsid w:val="5B986277"/>
    <w:rsid w:val="5C0105A7"/>
    <w:rsid w:val="5C1B5746"/>
    <w:rsid w:val="5C320050"/>
    <w:rsid w:val="5C494700"/>
    <w:rsid w:val="5C4B40E5"/>
    <w:rsid w:val="5C790E14"/>
    <w:rsid w:val="5C8A3BC2"/>
    <w:rsid w:val="5CC43B58"/>
    <w:rsid w:val="5CDC0284"/>
    <w:rsid w:val="5D2B07EE"/>
    <w:rsid w:val="5D48016A"/>
    <w:rsid w:val="5D6913B3"/>
    <w:rsid w:val="5D773D59"/>
    <w:rsid w:val="5D8B4093"/>
    <w:rsid w:val="5DBD6713"/>
    <w:rsid w:val="5DC47C5B"/>
    <w:rsid w:val="5DFA514F"/>
    <w:rsid w:val="5E19076E"/>
    <w:rsid w:val="5E332186"/>
    <w:rsid w:val="5E9C591A"/>
    <w:rsid w:val="5EE05C0D"/>
    <w:rsid w:val="5EE81299"/>
    <w:rsid w:val="5F2477FA"/>
    <w:rsid w:val="5F31588B"/>
    <w:rsid w:val="5F923565"/>
    <w:rsid w:val="5FA7529F"/>
    <w:rsid w:val="5FD301A1"/>
    <w:rsid w:val="5FE53E07"/>
    <w:rsid w:val="5FF150DF"/>
    <w:rsid w:val="600229F0"/>
    <w:rsid w:val="602925E7"/>
    <w:rsid w:val="604B6261"/>
    <w:rsid w:val="605B2C04"/>
    <w:rsid w:val="606B0C4A"/>
    <w:rsid w:val="607A7D44"/>
    <w:rsid w:val="60A90BD5"/>
    <w:rsid w:val="60CE303D"/>
    <w:rsid w:val="60FB0385"/>
    <w:rsid w:val="614319A1"/>
    <w:rsid w:val="614C35F5"/>
    <w:rsid w:val="61524E4C"/>
    <w:rsid w:val="615B60AF"/>
    <w:rsid w:val="617E3A05"/>
    <w:rsid w:val="61CB7187"/>
    <w:rsid w:val="61CB77C1"/>
    <w:rsid w:val="6200150B"/>
    <w:rsid w:val="6211584D"/>
    <w:rsid w:val="622867A1"/>
    <w:rsid w:val="6246053D"/>
    <w:rsid w:val="62730DEC"/>
    <w:rsid w:val="62897AC4"/>
    <w:rsid w:val="62CF2A83"/>
    <w:rsid w:val="62D03CD9"/>
    <w:rsid w:val="62D1432C"/>
    <w:rsid w:val="62D67997"/>
    <w:rsid w:val="62F5194E"/>
    <w:rsid w:val="62FA54F0"/>
    <w:rsid w:val="630E0859"/>
    <w:rsid w:val="630F027C"/>
    <w:rsid w:val="63427313"/>
    <w:rsid w:val="637113C7"/>
    <w:rsid w:val="6399402F"/>
    <w:rsid w:val="63B357B1"/>
    <w:rsid w:val="63C95418"/>
    <w:rsid w:val="64017CDA"/>
    <w:rsid w:val="64144F00"/>
    <w:rsid w:val="64507592"/>
    <w:rsid w:val="64803237"/>
    <w:rsid w:val="64AC3D58"/>
    <w:rsid w:val="64E96AEB"/>
    <w:rsid w:val="657B44FB"/>
    <w:rsid w:val="658D46CF"/>
    <w:rsid w:val="65DF67CB"/>
    <w:rsid w:val="65ED6EB4"/>
    <w:rsid w:val="660447FF"/>
    <w:rsid w:val="66194C4A"/>
    <w:rsid w:val="662863D0"/>
    <w:rsid w:val="66305190"/>
    <w:rsid w:val="66384AA8"/>
    <w:rsid w:val="665E5B1B"/>
    <w:rsid w:val="668003E0"/>
    <w:rsid w:val="66B17443"/>
    <w:rsid w:val="66E77CD1"/>
    <w:rsid w:val="67397DB3"/>
    <w:rsid w:val="676F4A49"/>
    <w:rsid w:val="67976253"/>
    <w:rsid w:val="67A337F5"/>
    <w:rsid w:val="67A46D34"/>
    <w:rsid w:val="67C933E3"/>
    <w:rsid w:val="67F05320"/>
    <w:rsid w:val="685A3C7C"/>
    <w:rsid w:val="68732E59"/>
    <w:rsid w:val="6880447B"/>
    <w:rsid w:val="688C6207"/>
    <w:rsid w:val="68A8404F"/>
    <w:rsid w:val="68E00D94"/>
    <w:rsid w:val="68F331B5"/>
    <w:rsid w:val="69086590"/>
    <w:rsid w:val="690960EE"/>
    <w:rsid w:val="695B3155"/>
    <w:rsid w:val="69743B79"/>
    <w:rsid w:val="69856A65"/>
    <w:rsid w:val="69AC2E6D"/>
    <w:rsid w:val="69B00F02"/>
    <w:rsid w:val="69C22990"/>
    <w:rsid w:val="69D313DD"/>
    <w:rsid w:val="69EC41C7"/>
    <w:rsid w:val="69F43330"/>
    <w:rsid w:val="6A096586"/>
    <w:rsid w:val="6A1D72DD"/>
    <w:rsid w:val="6A4116E6"/>
    <w:rsid w:val="6A8D1DAD"/>
    <w:rsid w:val="6AC41B34"/>
    <w:rsid w:val="6AC94502"/>
    <w:rsid w:val="6AEB0401"/>
    <w:rsid w:val="6B0120D0"/>
    <w:rsid w:val="6B0E7ACE"/>
    <w:rsid w:val="6B2A0713"/>
    <w:rsid w:val="6B583555"/>
    <w:rsid w:val="6B5F218F"/>
    <w:rsid w:val="6B821CDB"/>
    <w:rsid w:val="6BA3597E"/>
    <w:rsid w:val="6BA94FDA"/>
    <w:rsid w:val="6BCA5871"/>
    <w:rsid w:val="6BDA5644"/>
    <w:rsid w:val="6BED3E27"/>
    <w:rsid w:val="6BFB01BD"/>
    <w:rsid w:val="6C155E31"/>
    <w:rsid w:val="6C1A746E"/>
    <w:rsid w:val="6C1D722B"/>
    <w:rsid w:val="6C3E41ED"/>
    <w:rsid w:val="6C4677E8"/>
    <w:rsid w:val="6CA25869"/>
    <w:rsid w:val="6CC32924"/>
    <w:rsid w:val="6CCC42B0"/>
    <w:rsid w:val="6CE3660D"/>
    <w:rsid w:val="6D154FB5"/>
    <w:rsid w:val="6D653588"/>
    <w:rsid w:val="6D760601"/>
    <w:rsid w:val="6D887135"/>
    <w:rsid w:val="6DA14A3B"/>
    <w:rsid w:val="6DD312E4"/>
    <w:rsid w:val="6E3378A3"/>
    <w:rsid w:val="6E47459E"/>
    <w:rsid w:val="6E6F0A0B"/>
    <w:rsid w:val="6E760705"/>
    <w:rsid w:val="6E7A4EC3"/>
    <w:rsid w:val="6E883319"/>
    <w:rsid w:val="6EA95FBE"/>
    <w:rsid w:val="6EAB6DBA"/>
    <w:rsid w:val="6EAC4EA4"/>
    <w:rsid w:val="6ED40F99"/>
    <w:rsid w:val="6ED75CE0"/>
    <w:rsid w:val="6EDC5CDA"/>
    <w:rsid w:val="6F073C7A"/>
    <w:rsid w:val="6F166D30"/>
    <w:rsid w:val="6F590238"/>
    <w:rsid w:val="6F5E4765"/>
    <w:rsid w:val="6F7A220E"/>
    <w:rsid w:val="6F7D56B3"/>
    <w:rsid w:val="6F9715A1"/>
    <w:rsid w:val="6FDB6CC8"/>
    <w:rsid w:val="6FEE1CB5"/>
    <w:rsid w:val="6FFF422E"/>
    <w:rsid w:val="70084D89"/>
    <w:rsid w:val="707B282F"/>
    <w:rsid w:val="70884927"/>
    <w:rsid w:val="708A7E30"/>
    <w:rsid w:val="70940D5A"/>
    <w:rsid w:val="70CA78D6"/>
    <w:rsid w:val="70F80517"/>
    <w:rsid w:val="7151205B"/>
    <w:rsid w:val="71586E5A"/>
    <w:rsid w:val="715B3E96"/>
    <w:rsid w:val="71884FBD"/>
    <w:rsid w:val="7192293B"/>
    <w:rsid w:val="719E1F90"/>
    <w:rsid w:val="71C109B9"/>
    <w:rsid w:val="721D7820"/>
    <w:rsid w:val="72600905"/>
    <w:rsid w:val="72690461"/>
    <w:rsid w:val="729A2792"/>
    <w:rsid w:val="72BF3583"/>
    <w:rsid w:val="73114271"/>
    <w:rsid w:val="733B61CF"/>
    <w:rsid w:val="73546BA4"/>
    <w:rsid w:val="736B60F2"/>
    <w:rsid w:val="737E6E1F"/>
    <w:rsid w:val="73C23401"/>
    <w:rsid w:val="73DE6DF5"/>
    <w:rsid w:val="73E54A68"/>
    <w:rsid w:val="742A7075"/>
    <w:rsid w:val="743B3197"/>
    <w:rsid w:val="743B7B94"/>
    <w:rsid w:val="7455337E"/>
    <w:rsid w:val="747913A3"/>
    <w:rsid w:val="749D0716"/>
    <w:rsid w:val="74A84516"/>
    <w:rsid w:val="74AA0F3E"/>
    <w:rsid w:val="74B33A93"/>
    <w:rsid w:val="74FA131B"/>
    <w:rsid w:val="753B039A"/>
    <w:rsid w:val="753B4B58"/>
    <w:rsid w:val="756A2B2A"/>
    <w:rsid w:val="757F689B"/>
    <w:rsid w:val="758768A9"/>
    <w:rsid w:val="75BF5554"/>
    <w:rsid w:val="763368A0"/>
    <w:rsid w:val="766008D0"/>
    <w:rsid w:val="766963BF"/>
    <w:rsid w:val="766B45E7"/>
    <w:rsid w:val="76730668"/>
    <w:rsid w:val="767C0347"/>
    <w:rsid w:val="76971BAC"/>
    <w:rsid w:val="76A44790"/>
    <w:rsid w:val="76A84336"/>
    <w:rsid w:val="772E2F50"/>
    <w:rsid w:val="773223AD"/>
    <w:rsid w:val="773F479D"/>
    <w:rsid w:val="77481B4F"/>
    <w:rsid w:val="775252D0"/>
    <w:rsid w:val="776B1197"/>
    <w:rsid w:val="777F7E7E"/>
    <w:rsid w:val="77D91F39"/>
    <w:rsid w:val="77E763B3"/>
    <w:rsid w:val="77FB442E"/>
    <w:rsid w:val="783D7A4B"/>
    <w:rsid w:val="784561C3"/>
    <w:rsid w:val="78541389"/>
    <w:rsid w:val="78877660"/>
    <w:rsid w:val="78E02236"/>
    <w:rsid w:val="78E86041"/>
    <w:rsid w:val="793C7926"/>
    <w:rsid w:val="795F2E7D"/>
    <w:rsid w:val="7973147A"/>
    <w:rsid w:val="798244F6"/>
    <w:rsid w:val="7985752C"/>
    <w:rsid w:val="79911D22"/>
    <w:rsid w:val="79AB5DB1"/>
    <w:rsid w:val="79EC3FC0"/>
    <w:rsid w:val="79EF1BBD"/>
    <w:rsid w:val="79F365AA"/>
    <w:rsid w:val="79F50865"/>
    <w:rsid w:val="79FA6DDA"/>
    <w:rsid w:val="79FB3ADB"/>
    <w:rsid w:val="7A002609"/>
    <w:rsid w:val="7A18147C"/>
    <w:rsid w:val="7A253AA7"/>
    <w:rsid w:val="7A3050AA"/>
    <w:rsid w:val="7A4853B8"/>
    <w:rsid w:val="7A4A7CA7"/>
    <w:rsid w:val="7A714CE7"/>
    <w:rsid w:val="7A7F48E8"/>
    <w:rsid w:val="7A7F6691"/>
    <w:rsid w:val="7A9221EA"/>
    <w:rsid w:val="7AA36CA7"/>
    <w:rsid w:val="7AE922FC"/>
    <w:rsid w:val="7AF64447"/>
    <w:rsid w:val="7B2565F7"/>
    <w:rsid w:val="7B341E1B"/>
    <w:rsid w:val="7B62085C"/>
    <w:rsid w:val="7B66517C"/>
    <w:rsid w:val="7B7656D4"/>
    <w:rsid w:val="7B994A47"/>
    <w:rsid w:val="7BAA7EB8"/>
    <w:rsid w:val="7BC45E5D"/>
    <w:rsid w:val="7BCD4C49"/>
    <w:rsid w:val="7BD40DAA"/>
    <w:rsid w:val="7BE26A40"/>
    <w:rsid w:val="7BE941A7"/>
    <w:rsid w:val="7BEB6EFF"/>
    <w:rsid w:val="7C0269F8"/>
    <w:rsid w:val="7C2B0845"/>
    <w:rsid w:val="7C3E41E8"/>
    <w:rsid w:val="7C4F4B44"/>
    <w:rsid w:val="7C903AD5"/>
    <w:rsid w:val="7C9B17CF"/>
    <w:rsid w:val="7CAA3D3D"/>
    <w:rsid w:val="7CAB68B0"/>
    <w:rsid w:val="7CAF0749"/>
    <w:rsid w:val="7CB0500F"/>
    <w:rsid w:val="7CBA7334"/>
    <w:rsid w:val="7CD337BC"/>
    <w:rsid w:val="7D2857D6"/>
    <w:rsid w:val="7D3D2DAD"/>
    <w:rsid w:val="7D4134FC"/>
    <w:rsid w:val="7D86074C"/>
    <w:rsid w:val="7D981F45"/>
    <w:rsid w:val="7DB42776"/>
    <w:rsid w:val="7E1917EC"/>
    <w:rsid w:val="7E254C97"/>
    <w:rsid w:val="7E4475B2"/>
    <w:rsid w:val="7E583FC1"/>
    <w:rsid w:val="7E6C1B77"/>
    <w:rsid w:val="7E7C73F9"/>
    <w:rsid w:val="7E7D1421"/>
    <w:rsid w:val="7E8A6DB4"/>
    <w:rsid w:val="7E9A29F0"/>
    <w:rsid w:val="7E9B2C88"/>
    <w:rsid w:val="7EDA1AC4"/>
    <w:rsid w:val="7EE30A84"/>
    <w:rsid w:val="7EFB0AF6"/>
    <w:rsid w:val="7F0C2625"/>
    <w:rsid w:val="7F7C2FD8"/>
    <w:rsid w:val="7FA83A1E"/>
    <w:rsid w:val="7FC10CFD"/>
    <w:rsid w:val="7FC63E44"/>
    <w:rsid w:val="7FCA782F"/>
    <w:rsid w:val="7FD422D8"/>
    <w:rsid w:val="7FD56D64"/>
    <w:rsid w:val="7FD57E32"/>
    <w:rsid w:val="7FF3207B"/>
    <w:rsid w:val="7FF513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qFormat="1" w:unhideWhenUsed="0"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qFormat="1" w:unhideWhenUsed="0" w:uiPriority="99" w:name="index heading"/>
    <w:lsdException w:qFormat="1" w:unhideWhenUsed="0" w:uiPriority="0" w:semiHidden="0" w:name="caption" w:locked="1"/>
    <w:lsdException w:qFormat="1" w:unhideWhenUsed="0" w:uiPriority="99" w:name="table of figures"/>
    <w:lsdException w:uiPriority="99" w:name="envelope address" w:locked="1"/>
    <w:lsdException w:qFormat="1" w:uiPriority="99" w:semiHidden="0" w:name="envelope return" w:locked="1"/>
    <w:lsdException w:qFormat="1" w:unhideWhenUsed="0" w:uiPriority="99" w:name="footnote reference"/>
    <w:lsdException w:qFormat="1" w:unhideWhenUsed="0" w:uiPriority="99"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ocked="1"/>
    <w:lsdException w:qFormat="1" w:unhideWhenUsed="0" w:uiPriority="0" w:semiHidden="0"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sdException w:qFormat="1" w:unhideWhenUsed="0" w:uiPriority="0" w:semiHidden="0" w:name="Body Text Indent 3"/>
    <w:lsdException w:uiPriority="99" w:name="Block Text" w:locked="1"/>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link w:val="77"/>
    <w:qFormat/>
    <w:uiPriority w:val="0"/>
    <w:pPr>
      <w:keepNext/>
      <w:keepLines/>
      <w:spacing w:line="578" w:lineRule="auto"/>
      <w:outlineLvl w:val="0"/>
    </w:pPr>
    <w:rPr>
      <w:b/>
      <w:bCs/>
      <w:kern w:val="44"/>
      <w:sz w:val="44"/>
      <w:szCs w:val="44"/>
    </w:rPr>
  </w:style>
  <w:style w:type="paragraph" w:styleId="4">
    <w:name w:val="heading 2"/>
    <w:basedOn w:val="1"/>
    <w:next w:val="1"/>
    <w:link w:val="78"/>
    <w:qFormat/>
    <w:uiPriority w:val="0"/>
    <w:pPr>
      <w:keepNext/>
      <w:keepLines/>
      <w:overflowPunct w:val="0"/>
      <w:adjustRightInd w:val="0"/>
      <w:jc w:val="left"/>
      <w:textAlignment w:val="baseline"/>
      <w:outlineLvl w:val="1"/>
    </w:pPr>
    <w:rPr>
      <w:rFonts w:ascii="宋体" w:hAnsi="宋体"/>
      <w:b/>
    </w:rPr>
  </w:style>
  <w:style w:type="paragraph" w:styleId="5">
    <w:name w:val="heading 3"/>
    <w:basedOn w:val="1"/>
    <w:next w:val="1"/>
    <w:link w:val="79"/>
    <w:qFormat/>
    <w:uiPriority w:val="0"/>
    <w:pPr>
      <w:keepNext/>
      <w:keepLines/>
      <w:adjustRightInd w:val="0"/>
      <w:jc w:val="left"/>
      <w:textAlignment w:val="baseline"/>
      <w:outlineLvl w:val="2"/>
    </w:pPr>
    <w:rPr>
      <w:b/>
      <w:bCs/>
      <w:kern w:val="0"/>
      <w:sz w:val="32"/>
      <w:szCs w:val="32"/>
    </w:rPr>
  </w:style>
  <w:style w:type="paragraph" w:styleId="6">
    <w:name w:val="heading 4"/>
    <w:basedOn w:val="5"/>
    <w:next w:val="1"/>
    <w:unhideWhenUsed/>
    <w:qFormat/>
    <w:locked/>
    <w:uiPriority w:val="0"/>
    <w:pPr>
      <w:spacing w:line="374" w:lineRule="auto"/>
      <w:outlineLvl w:val="3"/>
    </w:pPr>
    <w:rPr>
      <w:rFonts w:hint="eastAsia" w:ascii="Cambria" w:hAnsi="Cambria" w:eastAsia="宋体"/>
      <w:sz w:val="28"/>
    </w:rPr>
  </w:style>
  <w:style w:type="paragraph" w:styleId="7">
    <w:name w:val="heading 5"/>
    <w:basedOn w:val="1"/>
    <w:next w:val="8"/>
    <w:link w:val="80"/>
    <w:qFormat/>
    <w:uiPriority w:val="0"/>
    <w:pPr>
      <w:keepNext/>
      <w:keepLines/>
      <w:numPr>
        <w:ilvl w:val="4"/>
        <w:numId w:val="1"/>
      </w:numPr>
      <w:tabs>
        <w:tab w:val="left" w:pos="432"/>
      </w:tabs>
      <w:spacing w:line="376" w:lineRule="auto"/>
      <w:outlineLvl w:val="4"/>
    </w:pPr>
    <w:rPr>
      <w:b/>
      <w:bCs/>
      <w:kern w:val="0"/>
      <w:sz w:val="28"/>
      <w:szCs w:val="28"/>
    </w:rPr>
  </w:style>
  <w:style w:type="paragraph" w:styleId="9">
    <w:name w:val="heading 6"/>
    <w:basedOn w:val="1"/>
    <w:next w:val="8"/>
    <w:link w:val="81"/>
    <w:qFormat/>
    <w:uiPriority w:val="0"/>
    <w:pPr>
      <w:keepNext/>
      <w:keepLines/>
      <w:numPr>
        <w:ilvl w:val="5"/>
        <w:numId w:val="1"/>
      </w:numPr>
      <w:tabs>
        <w:tab w:val="left" w:pos="432"/>
      </w:tabs>
      <w:spacing w:line="320" w:lineRule="auto"/>
      <w:outlineLvl w:val="5"/>
    </w:pPr>
    <w:rPr>
      <w:rFonts w:ascii="Cambria" w:hAnsi="Cambria" w:eastAsia="宋体"/>
      <w:b/>
      <w:bCs/>
      <w:kern w:val="0"/>
      <w:sz w:val="24"/>
      <w:szCs w:val="24"/>
    </w:rPr>
  </w:style>
  <w:style w:type="paragraph" w:styleId="10">
    <w:name w:val="heading 7"/>
    <w:basedOn w:val="1"/>
    <w:next w:val="1"/>
    <w:link w:val="82"/>
    <w:qFormat/>
    <w:uiPriority w:val="0"/>
    <w:pPr>
      <w:keepNext/>
      <w:keepLines/>
      <w:numPr>
        <w:ilvl w:val="6"/>
        <w:numId w:val="1"/>
      </w:numPr>
      <w:tabs>
        <w:tab w:val="left" w:pos="432"/>
      </w:tabs>
      <w:spacing w:line="320" w:lineRule="auto"/>
      <w:outlineLvl w:val="6"/>
    </w:pPr>
    <w:rPr>
      <w:b/>
      <w:bCs/>
      <w:kern w:val="0"/>
      <w:sz w:val="24"/>
      <w:szCs w:val="24"/>
    </w:rPr>
  </w:style>
  <w:style w:type="paragraph" w:styleId="11">
    <w:name w:val="heading 8"/>
    <w:basedOn w:val="1"/>
    <w:next w:val="8"/>
    <w:link w:val="83"/>
    <w:qFormat/>
    <w:uiPriority w:val="0"/>
    <w:pPr>
      <w:keepNext/>
      <w:keepLines/>
      <w:numPr>
        <w:ilvl w:val="7"/>
        <w:numId w:val="1"/>
      </w:numPr>
      <w:tabs>
        <w:tab w:val="left" w:pos="432"/>
      </w:tabs>
      <w:spacing w:line="320" w:lineRule="auto"/>
      <w:outlineLvl w:val="7"/>
    </w:pPr>
    <w:rPr>
      <w:rFonts w:ascii="Cambria" w:hAnsi="Cambria" w:eastAsia="宋体"/>
      <w:kern w:val="0"/>
      <w:sz w:val="24"/>
      <w:szCs w:val="24"/>
    </w:rPr>
  </w:style>
  <w:style w:type="paragraph" w:styleId="12">
    <w:name w:val="heading 9"/>
    <w:basedOn w:val="1"/>
    <w:next w:val="8"/>
    <w:link w:val="84"/>
    <w:qFormat/>
    <w:uiPriority w:val="0"/>
    <w:pPr>
      <w:keepNext/>
      <w:keepLines/>
      <w:numPr>
        <w:ilvl w:val="8"/>
        <w:numId w:val="1"/>
      </w:numPr>
      <w:tabs>
        <w:tab w:val="left" w:pos="432"/>
      </w:tabs>
      <w:spacing w:line="320" w:lineRule="auto"/>
      <w:outlineLvl w:val="8"/>
    </w:pPr>
    <w:rPr>
      <w:rFonts w:ascii="Cambria" w:hAnsi="Cambria" w:eastAsia="宋体"/>
      <w:kern w:val="0"/>
      <w:sz w:val="21"/>
      <w:szCs w:val="21"/>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jc w:val="both"/>
    </w:pPr>
    <w:rPr>
      <w:rFonts w:ascii="Times New Roman" w:hAnsi="Times New Roman" w:eastAsia="宋体" w:cs="Times New Roman"/>
      <w:kern w:val="2"/>
      <w:sz w:val="21"/>
      <w:szCs w:val="21"/>
      <w:lang w:val="en-US" w:eastAsia="zh-CN" w:bidi="ar-SA"/>
    </w:rPr>
  </w:style>
  <w:style w:type="paragraph" w:styleId="8">
    <w:name w:val="Normal Indent"/>
    <w:basedOn w:val="1"/>
    <w:link w:val="111"/>
    <w:qFormat/>
    <w:uiPriority w:val="0"/>
    <w:pPr>
      <w:adjustRightInd w:val="0"/>
      <w:ind w:firstLine="420"/>
      <w:jc w:val="left"/>
      <w:textAlignment w:val="baseline"/>
    </w:pPr>
    <w:rPr>
      <w:sz w:val="24"/>
    </w:rPr>
  </w:style>
  <w:style w:type="paragraph" w:styleId="13">
    <w:name w:val="toc 7"/>
    <w:basedOn w:val="1"/>
    <w:next w:val="1"/>
    <w:semiHidden/>
    <w:qFormat/>
    <w:uiPriority w:val="99"/>
    <w:pPr>
      <w:ind w:left="2520"/>
    </w:pPr>
  </w:style>
  <w:style w:type="paragraph" w:styleId="14">
    <w:name w:val="index 8"/>
    <w:basedOn w:val="1"/>
    <w:next w:val="1"/>
    <w:semiHidden/>
    <w:qFormat/>
    <w:uiPriority w:val="99"/>
    <w:pPr>
      <w:ind w:left="2940"/>
    </w:pPr>
  </w:style>
  <w:style w:type="paragraph" w:styleId="15">
    <w:name w:val="caption"/>
    <w:basedOn w:val="1"/>
    <w:next w:val="1"/>
    <w:qFormat/>
    <w:locked/>
    <w:uiPriority w:val="0"/>
    <w:pPr>
      <w:adjustRightInd w:val="0"/>
      <w:spacing w:before="152" w:after="160" w:line="360" w:lineRule="atLeast"/>
      <w:textAlignment w:val="baseline"/>
    </w:pPr>
    <w:rPr>
      <w:rFonts w:ascii="Arial" w:hAnsi="Arial" w:eastAsia="黑体"/>
      <w:kern w:val="0"/>
      <w:sz w:val="24"/>
    </w:rPr>
  </w:style>
  <w:style w:type="paragraph" w:styleId="16">
    <w:name w:val="index 5"/>
    <w:basedOn w:val="1"/>
    <w:next w:val="1"/>
    <w:semiHidden/>
    <w:qFormat/>
    <w:uiPriority w:val="99"/>
    <w:pPr>
      <w:ind w:left="1680"/>
    </w:pPr>
  </w:style>
  <w:style w:type="paragraph" w:styleId="17">
    <w:name w:val="Document Map"/>
    <w:basedOn w:val="1"/>
    <w:link w:val="87"/>
    <w:qFormat/>
    <w:uiPriority w:val="0"/>
    <w:pPr>
      <w:shd w:val="clear" w:color="auto" w:fill="000080"/>
    </w:pPr>
    <w:rPr>
      <w:kern w:val="0"/>
      <w:sz w:val="2"/>
    </w:rPr>
  </w:style>
  <w:style w:type="paragraph" w:styleId="18">
    <w:name w:val="toa heading"/>
    <w:basedOn w:val="1"/>
    <w:next w:val="1"/>
    <w:qFormat/>
    <w:locked/>
    <w:uiPriority w:val="0"/>
    <w:pPr>
      <w:adjustRightInd w:val="0"/>
      <w:spacing w:before="200" w:line="360" w:lineRule="atLeast"/>
      <w:jc w:val="center"/>
      <w:textAlignment w:val="baseline"/>
    </w:pPr>
    <w:rPr>
      <w:rFonts w:ascii="Arial" w:hAnsi="Arial" w:eastAsia="黑体"/>
      <w:kern w:val="0"/>
      <w:sz w:val="44"/>
    </w:rPr>
  </w:style>
  <w:style w:type="paragraph" w:styleId="19">
    <w:name w:val="annotation text"/>
    <w:basedOn w:val="1"/>
    <w:link w:val="85"/>
    <w:semiHidden/>
    <w:qFormat/>
    <w:uiPriority w:val="99"/>
    <w:pPr>
      <w:jc w:val="left"/>
    </w:pPr>
  </w:style>
  <w:style w:type="paragraph" w:styleId="20">
    <w:name w:val="index 6"/>
    <w:basedOn w:val="1"/>
    <w:next w:val="1"/>
    <w:semiHidden/>
    <w:qFormat/>
    <w:uiPriority w:val="99"/>
    <w:pPr>
      <w:ind w:left="2100"/>
    </w:pPr>
  </w:style>
  <w:style w:type="paragraph" w:styleId="21">
    <w:name w:val="Body Text 3"/>
    <w:basedOn w:val="1"/>
    <w:link w:val="146"/>
    <w:qFormat/>
    <w:locked/>
    <w:uiPriority w:val="0"/>
    <w:pPr>
      <w:adjustRightInd w:val="0"/>
      <w:spacing w:line="360" w:lineRule="atLeast"/>
      <w:jc w:val="center"/>
      <w:textAlignment w:val="baseline"/>
    </w:pPr>
    <w:rPr>
      <w:rFonts w:eastAsia="宋体"/>
      <w:color w:val="FF0000"/>
      <w:kern w:val="0"/>
      <w:sz w:val="21"/>
      <w:szCs w:val="21"/>
    </w:rPr>
  </w:style>
  <w:style w:type="paragraph" w:styleId="22">
    <w:name w:val="Body Text"/>
    <w:basedOn w:val="1"/>
    <w:next w:val="1"/>
    <w:link w:val="88"/>
    <w:qFormat/>
    <w:uiPriority w:val="0"/>
    <w:pPr>
      <w:spacing w:line="400" w:lineRule="exact"/>
    </w:pPr>
    <w:rPr>
      <w:kern w:val="0"/>
      <w:sz w:val="20"/>
    </w:rPr>
  </w:style>
  <w:style w:type="paragraph" w:styleId="23">
    <w:name w:val="Body Text Indent"/>
    <w:basedOn w:val="1"/>
    <w:next w:val="24"/>
    <w:link w:val="89"/>
    <w:qFormat/>
    <w:uiPriority w:val="0"/>
    <w:pPr>
      <w:spacing w:line="520" w:lineRule="exact"/>
      <w:ind w:left="570"/>
    </w:pPr>
    <w:rPr>
      <w:rFonts w:ascii="方正仿宋简体" w:hAnsi="创艺简仿宋" w:eastAsia="方正仿宋简体"/>
      <w:sz w:val="24"/>
    </w:rPr>
  </w:style>
  <w:style w:type="paragraph" w:styleId="24">
    <w:name w:val="envelope return"/>
    <w:basedOn w:val="1"/>
    <w:unhideWhenUsed/>
    <w:qFormat/>
    <w:locked/>
    <w:uiPriority w:val="99"/>
    <w:pPr>
      <w:snapToGrid w:val="0"/>
    </w:pPr>
    <w:rPr>
      <w:rFonts w:ascii="Arial" w:hAnsi="Arial"/>
    </w:rPr>
  </w:style>
  <w:style w:type="paragraph" w:styleId="25">
    <w:name w:val="index 4"/>
    <w:basedOn w:val="1"/>
    <w:next w:val="1"/>
    <w:semiHidden/>
    <w:qFormat/>
    <w:uiPriority w:val="99"/>
    <w:pPr>
      <w:ind w:left="1260"/>
    </w:pPr>
  </w:style>
  <w:style w:type="paragraph" w:styleId="26">
    <w:name w:val="toc 5"/>
    <w:basedOn w:val="1"/>
    <w:next w:val="1"/>
    <w:semiHidden/>
    <w:qFormat/>
    <w:uiPriority w:val="99"/>
    <w:pPr>
      <w:ind w:left="1680"/>
    </w:pPr>
  </w:style>
  <w:style w:type="paragraph" w:styleId="27">
    <w:name w:val="toc 3"/>
    <w:basedOn w:val="1"/>
    <w:next w:val="1"/>
    <w:qFormat/>
    <w:uiPriority w:val="39"/>
    <w:pPr>
      <w:ind w:left="840"/>
    </w:pPr>
  </w:style>
  <w:style w:type="paragraph" w:styleId="28">
    <w:name w:val="Plain Text"/>
    <w:basedOn w:val="1"/>
    <w:link w:val="90"/>
    <w:qFormat/>
    <w:uiPriority w:val="0"/>
    <w:rPr>
      <w:rFonts w:ascii="宋体" w:hAnsi="Courier New"/>
    </w:rPr>
  </w:style>
  <w:style w:type="paragraph" w:styleId="29">
    <w:name w:val="toc 8"/>
    <w:basedOn w:val="1"/>
    <w:next w:val="1"/>
    <w:semiHidden/>
    <w:qFormat/>
    <w:uiPriority w:val="99"/>
    <w:pPr>
      <w:ind w:left="2940"/>
    </w:pPr>
  </w:style>
  <w:style w:type="paragraph" w:styleId="30">
    <w:name w:val="index 3"/>
    <w:basedOn w:val="1"/>
    <w:next w:val="1"/>
    <w:semiHidden/>
    <w:qFormat/>
    <w:uiPriority w:val="99"/>
    <w:pPr>
      <w:ind w:left="840"/>
    </w:pPr>
  </w:style>
  <w:style w:type="paragraph" w:styleId="31">
    <w:name w:val="Date"/>
    <w:basedOn w:val="1"/>
    <w:next w:val="1"/>
    <w:link w:val="91"/>
    <w:qFormat/>
    <w:uiPriority w:val="0"/>
    <w:rPr>
      <w:kern w:val="0"/>
      <w:sz w:val="20"/>
    </w:rPr>
  </w:style>
  <w:style w:type="paragraph" w:styleId="32">
    <w:name w:val="Body Text Indent 2"/>
    <w:basedOn w:val="1"/>
    <w:link w:val="92"/>
    <w:qFormat/>
    <w:uiPriority w:val="0"/>
    <w:pPr>
      <w:tabs>
        <w:tab w:val="left" w:pos="0"/>
      </w:tabs>
      <w:spacing w:line="360" w:lineRule="auto"/>
      <w:ind w:firstLine="502" w:firstLineChars="209"/>
    </w:pPr>
    <w:rPr>
      <w:kern w:val="0"/>
      <w:sz w:val="20"/>
    </w:rPr>
  </w:style>
  <w:style w:type="paragraph" w:styleId="33">
    <w:name w:val="endnote text"/>
    <w:basedOn w:val="1"/>
    <w:link w:val="151"/>
    <w:qFormat/>
    <w:locked/>
    <w:uiPriority w:val="0"/>
    <w:pPr>
      <w:adjustRightInd w:val="0"/>
      <w:snapToGrid w:val="0"/>
      <w:spacing w:line="360" w:lineRule="atLeast"/>
      <w:jc w:val="left"/>
      <w:textAlignment w:val="baseline"/>
    </w:pPr>
    <w:rPr>
      <w:rFonts w:eastAsia="宋体"/>
      <w:kern w:val="0"/>
      <w:sz w:val="24"/>
    </w:rPr>
  </w:style>
  <w:style w:type="paragraph" w:styleId="34">
    <w:name w:val="Balloon Text"/>
    <w:basedOn w:val="1"/>
    <w:link w:val="93"/>
    <w:qFormat/>
    <w:uiPriority w:val="0"/>
    <w:rPr>
      <w:kern w:val="0"/>
      <w:sz w:val="2"/>
    </w:rPr>
  </w:style>
  <w:style w:type="paragraph" w:styleId="35">
    <w:name w:val="footer"/>
    <w:basedOn w:val="1"/>
    <w:link w:val="94"/>
    <w:qFormat/>
    <w:uiPriority w:val="0"/>
    <w:pPr>
      <w:tabs>
        <w:tab w:val="center" w:pos="4153"/>
        <w:tab w:val="right" w:pos="8306"/>
      </w:tabs>
      <w:snapToGrid w:val="0"/>
      <w:jc w:val="left"/>
    </w:pPr>
    <w:rPr>
      <w:kern w:val="0"/>
      <w:sz w:val="18"/>
      <w:szCs w:val="18"/>
    </w:rPr>
  </w:style>
  <w:style w:type="paragraph" w:styleId="36">
    <w:name w:val="header"/>
    <w:basedOn w:val="1"/>
    <w:link w:val="95"/>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39"/>
    <w:pPr>
      <w:adjustRightInd w:val="0"/>
      <w:jc w:val="left"/>
      <w:textAlignment w:val="baseline"/>
    </w:pPr>
    <w:rPr>
      <w:sz w:val="24"/>
    </w:rPr>
  </w:style>
  <w:style w:type="paragraph" w:styleId="38">
    <w:name w:val="toc 4"/>
    <w:basedOn w:val="1"/>
    <w:next w:val="1"/>
    <w:semiHidden/>
    <w:qFormat/>
    <w:uiPriority w:val="99"/>
    <w:pPr>
      <w:ind w:left="1260"/>
    </w:pPr>
  </w:style>
  <w:style w:type="paragraph" w:styleId="39">
    <w:name w:val="index heading"/>
    <w:basedOn w:val="1"/>
    <w:next w:val="40"/>
    <w:semiHidden/>
    <w:qFormat/>
    <w:uiPriority w:val="99"/>
  </w:style>
  <w:style w:type="paragraph" w:styleId="40">
    <w:name w:val="index 1"/>
    <w:basedOn w:val="1"/>
    <w:next w:val="1"/>
    <w:semiHidden/>
    <w:qFormat/>
    <w:uiPriority w:val="99"/>
  </w:style>
  <w:style w:type="paragraph" w:styleId="41">
    <w:name w:val="Subtitle"/>
    <w:basedOn w:val="1"/>
    <w:link w:val="148"/>
    <w:qFormat/>
    <w:locked/>
    <w:uiPriority w:val="0"/>
    <w:pPr>
      <w:adjustRightInd w:val="0"/>
      <w:spacing w:after="60" w:line="360" w:lineRule="atLeast"/>
      <w:jc w:val="center"/>
      <w:textAlignment w:val="baseline"/>
    </w:pPr>
    <w:rPr>
      <w:rFonts w:ascii="Arial" w:hAnsi="Arial" w:eastAsia="黑体"/>
      <w:i/>
      <w:kern w:val="0"/>
      <w:sz w:val="24"/>
    </w:rPr>
  </w:style>
  <w:style w:type="paragraph" w:styleId="42">
    <w:name w:val="footnote text"/>
    <w:basedOn w:val="1"/>
    <w:link w:val="96"/>
    <w:semiHidden/>
    <w:qFormat/>
    <w:uiPriority w:val="99"/>
    <w:pPr>
      <w:snapToGrid w:val="0"/>
      <w:jc w:val="left"/>
    </w:pPr>
    <w:rPr>
      <w:kern w:val="0"/>
      <w:sz w:val="18"/>
      <w:szCs w:val="18"/>
    </w:rPr>
  </w:style>
  <w:style w:type="paragraph" w:styleId="43">
    <w:name w:val="toc 6"/>
    <w:basedOn w:val="1"/>
    <w:next w:val="1"/>
    <w:semiHidden/>
    <w:qFormat/>
    <w:uiPriority w:val="99"/>
    <w:pPr>
      <w:ind w:left="2100"/>
    </w:pPr>
  </w:style>
  <w:style w:type="paragraph" w:styleId="44">
    <w:name w:val="Body Text Indent 3"/>
    <w:basedOn w:val="1"/>
    <w:link w:val="97"/>
    <w:qFormat/>
    <w:uiPriority w:val="0"/>
    <w:pPr>
      <w:spacing w:line="360" w:lineRule="auto"/>
      <w:ind w:firstLine="617" w:firstLineChars="257"/>
    </w:pPr>
    <w:rPr>
      <w:kern w:val="0"/>
      <w:sz w:val="16"/>
      <w:szCs w:val="16"/>
    </w:rPr>
  </w:style>
  <w:style w:type="paragraph" w:styleId="45">
    <w:name w:val="index 7"/>
    <w:basedOn w:val="1"/>
    <w:next w:val="1"/>
    <w:semiHidden/>
    <w:qFormat/>
    <w:uiPriority w:val="99"/>
    <w:pPr>
      <w:ind w:left="2520"/>
    </w:pPr>
  </w:style>
  <w:style w:type="paragraph" w:styleId="46">
    <w:name w:val="index 9"/>
    <w:basedOn w:val="1"/>
    <w:next w:val="1"/>
    <w:semiHidden/>
    <w:qFormat/>
    <w:uiPriority w:val="99"/>
    <w:pPr>
      <w:ind w:left="3360"/>
    </w:pPr>
  </w:style>
  <w:style w:type="paragraph" w:styleId="47">
    <w:name w:val="table of figures"/>
    <w:basedOn w:val="1"/>
    <w:next w:val="1"/>
    <w:semiHidden/>
    <w:qFormat/>
    <w:uiPriority w:val="99"/>
    <w:pPr>
      <w:adjustRightInd w:val="0"/>
      <w:ind w:left="420" w:hanging="420"/>
      <w:jc w:val="left"/>
      <w:textAlignment w:val="baseline"/>
    </w:pPr>
    <w:rPr>
      <w:smallCaps/>
      <w:sz w:val="24"/>
    </w:rPr>
  </w:style>
  <w:style w:type="paragraph" w:styleId="48">
    <w:name w:val="toc 2"/>
    <w:basedOn w:val="1"/>
    <w:next w:val="1"/>
    <w:qFormat/>
    <w:uiPriority w:val="39"/>
    <w:pPr>
      <w:ind w:left="420"/>
    </w:pPr>
  </w:style>
  <w:style w:type="paragraph" w:styleId="49">
    <w:name w:val="toc 9"/>
    <w:basedOn w:val="1"/>
    <w:next w:val="1"/>
    <w:semiHidden/>
    <w:qFormat/>
    <w:uiPriority w:val="99"/>
    <w:pPr>
      <w:ind w:left="3360"/>
    </w:pPr>
  </w:style>
  <w:style w:type="paragraph" w:styleId="50">
    <w:name w:val="Body Text 2"/>
    <w:basedOn w:val="1"/>
    <w:link w:val="145"/>
    <w:qFormat/>
    <w:locked/>
    <w:uiPriority w:val="0"/>
    <w:pPr>
      <w:adjustRightInd w:val="0"/>
      <w:spacing w:line="360" w:lineRule="atLeast"/>
      <w:jc w:val="center"/>
      <w:textAlignment w:val="baseline"/>
    </w:pPr>
    <w:rPr>
      <w:rFonts w:ascii="仿宋_GB2312" w:eastAsia="仿宋_GB2312"/>
      <w:kern w:val="0"/>
      <w:sz w:val="24"/>
      <w:szCs w:val="24"/>
    </w:rPr>
  </w:style>
  <w:style w:type="paragraph" w:styleId="51">
    <w:name w:val="HTML Preformatted"/>
    <w:basedOn w:val="1"/>
    <w:link w:val="9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52">
    <w:name w:val="Normal (Web)"/>
    <w:basedOn w:val="1"/>
    <w:qFormat/>
    <w:uiPriority w:val="0"/>
    <w:pPr>
      <w:spacing w:before="100" w:beforeAutospacing="1" w:after="100" w:afterAutospacing="1"/>
      <w:jc w:val="left"/>
    </w:pPr>
    <w:rPr>
      <w:kern w:val="0"/>
      <w:sz w:val="24"/>
    </w:rPr>
  </w:style>
  <w:style w:type="paragraph" w:styleId="53">
    <w:name w:val="index 2"/>
    <w:basedOn w:val="1"/>
    <w:next w:val="1"/>
    <w:semiHidden/>
    <w:qFormat/>
    <w:uiPriority w:val="99"/>
    <w:pPr>
      <w:ind w:left="420"/>
    </w:pPr>
  </w:style>
  <w:style w:type="paragraph" w:styleId="54">
    <w:name w:val="Title"/>
    <w:basedOn w:val="1"/>
    <w:next w:val="1"/>
    <w:link w:val="99"/>
    <w:qFormat/>
    <w:locked/>
    <w:uiPriority w:val="0"/>
    <w:pPr>
      <w:adjustRightInd w:val="0"/>
      <w:spacing w:line="420" w:lineRule="atLeast"/>
      <w:jc w:val="center"/>
      <w:textAlignment w:val="baseline"/>
      <w:outlineLvl w:val="0"/>
    </w:pPr>
    <w:rPr>
      <w:rFonts w:ascii="Arial" w:hAnsi="Arial"/>
      <w:b/>
      <w:kern w:val="0"/>
      <w:sz w:val="32"/>
    </w:rPr>
  </w:style>
  <w:style w:type="paragraph" w:styleId="55">
    <w:name w:val="annotation subject"/>
    <w:basedOn w:val="19"/>
    <w:next w:val="19"/>
    <w:link w:val="86"/>
    <w:semiHidden/>
    <w:qFormat/>
    <w:uiPriority w:val="99"/>
    <w:rPr>
      <w:b/>
      <w:bCs/>
      <w:sz w:val="20"/>
    </w:rPr>
  </w:style>
  <w:style w:type="paragraph" w:styleId="56">
    <w:name w:val="Body Text First Indent"/>
    <w:basedOn w:val="22"/>
    <w:link w:val="147"/>
    <w:qFormat/>
    <w:locked/>
    <w:uiPriority w:val="0"/>
    <w:pPr>
      <w:widowControl/>
      <w:spacing w:after="120" w:line="240" w:lineRule="auto"/>
      <w:ind w:firstLine="420" w:firstLineChars="100"/>
      <w:jc w:val="left"/>
    </w:pPr>
    <w:rPr>
      <w:rFonts w:eastAsia="宋体"/>
      <w:sz w:val="21"/>
    </w:rPr>
  </w:style>
  <w:style w:type="paragraph" w:styleId="57">
    <w:name w:val="Body Text First Indent 2"/>
    <w:basedOn w:val="23"/>
    <w:link w:val="152"/>
    <w:qFormat/>
    <w:locked/>
    <w:uiPriority w:val="0"/>
    <w:pPr>
      <w:widowControl/>
      <w:spacing w:after="120" w:line="240" w:lineRule="auto"/>
      <w:ind w:left="420" w:leftChars="200" w:firstLine="420" w:firstLineChars="200"/>
      <w:jc w:val="left"/>
    </w:pPr>
    <w:rPr>
      <w:rFonts w:ascii="Times New Roman" w:hAnsi="Times New Roman" w:eastAsia="宋体"/>
      <w:sz w:val="28"/>
    </w:rPr>
  </w:style>
  <w:style w:type="table" w:styleId="59">
    <w:name w:val="Table Grid"/>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basedOn w:val="60"/>
    <w:qFormat/>
    <w:uiPriority w:val="99"/>
    <w:rPr>
      <w:rFonts w:cs="Times New Roman"/>
      <w:b/>
    </w:rPr>
  </w:style>
  <w:style w:type="character" w:styleId="62">
    <w:name w:val="endnote reference"/>
    <w:qFormat/>
    <w:locked/>
    <w:uiPriority w:val="0"/>
    <w:rPr>
      <w:vertAlign w:val="superscript"/>
    </w:rPr>
  </w:style>
  <w:style w:type="character" w:styleId="63">
    <w:name w:val="page number"/>
    <w:basedOn w:val="60"/>
    <w:qFormat/>
    <w:uiPriority w:val="0"/>
    <w:rPr>
      <w:rFonts w:cs="Times New Roman"/>
    </w:rPr>
  </w:style>
  <w:style w:type="character" w:styleId="64">
    <w:name w:val="FollowedHyperlink"/>
    <w:basedOn w:val="60"/>
    <w:qFormat/>
    <w:uiPriority w:val="0"/>
    <w:rPr>
      <w:rFonts w:cs="Times New Roman"/>
      <w:color w:val="954F72"/>
      <w:u w:val="single"/>
    </w:rPr>
  </w:style>
  <w:style w:type="character" w:styleId="65">
    <w:name w:val="Emphasis"/>
    <w:basedOn w:val="60"/>
    <w:qFormat/>
    <w:uiPriority w:val="99"/>
    <w:rPr>
      <w:rFonts w:cs="Times New Roman"/>
      <w:i/>
    </w:rPr>
  </w:style>
  <w:style w:type="character" w:styleId="66">
    <w:name w:val="line number"/>
    <w:basedOn w:val="60"/>
    <w:qFormat/>
    <w:uiPriority w:val="0"/>
    <w:rPr>
      <w:rFonts w:cs="Times New Roman"/>
    </w:rPr>
  </w:style>
  <w:style w:type="character" w:styleId="67">
    <w:name w:val="HTML Definition"/>
    <w:basedOn w:val="60"/>
    <w:qFormat/>
    <w:uiPriority w:val="99"/>
    <w:rPr>
      <w:rFonts w:cs="Times New Roman"/>
      <w:i/>
    </w:rPr>
  </w:style>
  <w:style w:type="character" w:styleId="68">
    <w:name w:val="Hyperlink"/>
    <w:basedOn w:val="60"/>
    <w:qFormat/>
    <w:uiPriority w:val="0"/>
    <w:rPr>
      <w:rFonts w:cs="Times New Roman"/>
      <w:color w:val="0000FF"/>
      <w:u w:val="single"/>
    </w:rPr>
  </w:style>
  <w:style w:type="character" w:styleId="69">
    <w:name w:val="HTML Code"/>
    <w:basedOn w:val="60"/>
    <w:qFormat/>
    <w:uiPriority w:val="99"/>
    <w:rPr>
      <w:rFonts w:ascii="Menlo" w:hAnsi="Menlo" w:cs="Times New Roman"/>
      <w:color w:val="C7254E"/>
      <w:sz w:val="21"/>
      <w:shd w:val="clear" w:color="auto" w:fill="F9F2F4"/>
    </w:rPr>
  </w:style>
  <w:style w:type="character" w:styleId="70">
    <w:name w:val="annotation reference"/>
    <w:basedOn w:val="60"/>
    <w:semiHidden/>
    <w:qFormat/>
    <w:uiPriority w:val="99"/>
    <w:rPr>
      <w:rFonts w:cs="Times New Roman"/>
      <w:sz w:val="21"/>
    </w:rPr>
  </w:style>
  <w:style w:type="character" w:styleId="71">
    <w:name w:val="HTML Cite"/>
    <w:basedOn w:val="60"/>
    <w:qFormat/>
    <w:uiPriority w:val="99"/>
    <w:rPr>
      <w:rFonts w:cs="Times New Roman"/>
    </w:rPr>
  </w:style>
  <w:style w:type="character" w:styleId="72">
    <w:name w:val="footnote reference"/>
    <w:basedOn w:val="60"/>
    <w:semiHidden/>
    <w:qFormat/>
    <w:uiPriority w:val="99"/>
    <w:rPr>
      <w:rFonts w:cs="Times New Roman"/>
      <w:vertAlign w:val="superscript"/>
    </w:rPr>
  </w:style>
  <w:style w:type="character" w:styleId="73">
    <w:name w:val="HTML Keyboard"/>
    <w:basedOn w:val="60"/>
    <w:qFormat/>
    <w:uiPriority w:val="99"/>
    <w:rPr>
      <w:rFonts w:ascii="Menlo" w:hAnsi="Menlo" w:cs="Times New Roman"/>
      <w:sz w:val="21"/>
    </w:rPr>
  </w:style>
  <w:style w:type="character" w:styleId="74">
    <w:name w:val="HTML Sample"/>
    <w:basedOn w:val="60"/>
    <w:qFormat/>
    <w:uiPriority w:val="99"/>
    <w:rPr>
      <w:rFonts w:ascii="Menlo" w:hAnsi="Menlo" w:cs="Times New Roman"/>
      <w:sz w:val="21"/>
    </w:rPr>
  </w:style>
  <w:style w:type="paragraph" w:customStyle="1" w:styleId="75">
    <w:name w:val="正文文本首行缩进 2"/>
    <w:basedOn w:val="23"/>
    <w:unhideWhenUsed/>
    <w:qFormat/>
    <w:uiPriority w:val="99"/>
    <w:pPr>
      <w:ind w:firstLine="420" w:firstLineChars="200"/>
    </w:pPr>
    <w:rPr>
      <w:rFonts w:ascii="Calibri" w:hAnsi="Calibri"/>
      <w:szCs w:val="26"/>
    </w:rPr>
  </w:style>
  <w:style w:type="paragraph" w:customStyle="1" w:styleId="76">
    <w:name w:val="正文文本首行缩进 21"/>
    <w:basedOn w:val="23"/>
    <w:unhideWhenUsed/>
    <w:qFormat/>
    <w:uiPriority w:val="99"/>
    <w:pPr>
      <w:ind w:firstLine="420" w:firstLineChars="200"/>
    </w:pPr>
    <w:rPr>
      <w:rFonts w:ascii="Calibri" w:hAnsi="Calibri"/>
      <w:szCs w:val="26"/>
    </w:rPr>
  </w:style>
  <w:style w:type="character" w:customStyle="1" w:styleId="77">
    <w:name w:val="标题 1 Char"/>
    <w:basedOn w:val="60"/>
    <w:link w:val="3"/>
    <w:qFormat/>
    <w:locked/>
    <w:uiPriority w:val="99"/>
    <w:rPr>
      <w:rFonts w:eastAsia="楷体_GB2312" w:cs="Times New Roman"/>
      <w:b/>
      <w:kern w:val="44"/>
      <w:sz w:val="44"/>
    </w:rPr>
  </w:style>
  <w:style w:type="character" w:customStyle="1" w:styleId="78">
    <w:name w:val="标题 2 Char"/>
    <w:basedOn w:val="60"/>
    <w:link w:val="4"/>
    <w:qFormat/>
    <w:locked/>
    <w:uiPriority w:val="99"/>
    <w:rPr>
      <w:rFonts w:ascii="宋体" w:hAnsi="宋体" w:eastAsia="楷体_GB2312" w:cs="Times New Roman"/>
      <w:b/>
      <w:kern w:val="2"/>
      <w:sz w:val="26"/>
      <w:lang w:val="en-US" w:eastAsia="zh-CN"/>
    </w:rPr>
  </w:style>
  <w:style w:type="character" w:customStyle="1" w:styleId="79">
    <w:name w:val="标题 3 Char"/>
    <w:basedOn w:val="60"/>
    <w:link w:val="5"/>
    <w:semiHidden/>
    <w:qFormat/>
    <w:locked/>
    <w:uiPriority w:val="99"/>
    <w:rPr>
      <w:rFonts w:eastAsia="楷体_GB2312" w:cs="Times New Roman"/>
      <w:b/>
      <w:sz w:val="32"/>
    </w:rPr>
  </w:style>
  <w:style w:type="character" w:customStyle="1" w:styleId="80">
    <w:name w:val="标题 5 Char"/>
    <w:basedOn w:val="60"/>
    <w:link w:val="7"/>
    <w:semiHidden/>
    <w:qFormat/>
    <w:locked/>
    <w:uiPriority w:val="99"/>
    <w:rPr>
      <w:rFonts w:eastAsia="楷体_GB2312" w:cs="Times New Roman"/>
      <w:b/>
      <w:sz w:val="28"/>
    </w:rPr>
  </w:style>
  <w:style w:type="character" w:customStyle="1" w:styleId="81">
    <w:name w:val="标题 6 Char"/>
    <w:basedOn w:val="60"/>
    <w:link w:val="9"/>
    <w:semiHidden/>
    <w:qFormat/>
    <w:locked/>
    <w:uiPriority w:val="99"/>
    <w:rPr>
      <w:rFonts w:ascii="Cambria" w:hAnsi="Cambria" w:eastAsia="宋体" w:cs="Times New Roman"/>
      <w:b/>
      <w:sz w:val="24"/>
    </w:rPr>
  </w:style>
  <w:style w:type="character" w:customStyle="1" w:styleId="82">
    <w:name w:val="标题 7 Char"/>
    <w:basedOn w:val="60"/>
    <w:link w:val="10"/>
    <w:semiHidden/>
    <w:qFormat/>
    <w:locked/>
    <w:uiPriority w:val="99"/>
    <w:rPr>
      <w:rFonts w:eastAsia="楷体_GB2312" w:cs="Times New Roman"/>
      <w:b/>
      <w:sz w:val="24"/>
    </w:rPr>
  </w:style>
  <w:style w:type="character" w:customStyle="1" w:styleId="83">
    <w:name w:val="标题 8 Char"/>
    <w:basedOn w:val="60"/>
    <w:link w:val="11"/>
    <w:semiHidden/>
    <w:qFormat/>
    <w:locked/>
    <w:uiPriority w:val="99"/>
    <w:rPr>
      <w:rFonts w:ascii="Cambria" w:hAnsi="Cambria" w:eastAsia="宋体" w:cs="Times New Roman"/>
      <w:sz w:val="24"/>
    </w:rPr>
  </w:style>
  <w:style w:type="character" w:customStyle="1" w:styleId="84">
    <w:name w:val="标题 9 Char"/>
    <w:basedOn w:val="60"/>
    <w:link w:val="12"/>
    <w:semiHidden/>
    <w:qFormat/>
    <w:locked/>
    <w:uiPriority w:val="99"/>
    <w:rPr>
      <w:rFonts w:ascii="Cambria" w:hAnsi="Cambria" w:eastAsia="宋体" w:cs="Times New Roman"/>
      <w:sz w:val="21"/>
    </w:rPr>
  </w:style>
  <w:style w:type="character" w:customStyle="1" w:styleId="85">
    <w:name w:val="批注文字 Char"/>
    <w:basedOn w:val="60"/>
    <w:link w:val="19"/>
    <w:semiHidden/>
    <w:qFormat/>
    <w:locked/>
    <w:uiPriority w:val="99"/>
    <w:rPr>
      <w:rFonts w:eastAsia="楷体_GB2312" w:cs="Times New Roman"/>
      <w:kern w:val="2"/>
      <w:sz w:val="26"/>
    </w:rPr>
  </w:style>
  <w:style w:type="character" w:customStyle="1" w:styleId="86">
    <w:name w:val="批注主题 Char"/>
    <w:basedOn w:val="85"/>
    <w:link w:val="55"/>
    <w:semiHidden/>
    <w:qFormat/>
    <w:locked/>
    <w:uiPriority w:val="99"/>
    <w:rPr>
      <w:rFonts w:eastAsia="楷体_GB2312" w:cs="Times New Roman"/>
      <w:b/>
      <w:kern w:val="2"/>
      <w:sz w:val="20"/>
    </w:rPr>
  </w:style>
  <w:style w:type="character" w:customStyle="1" w:styleId="87">
    <w:name w:val="文档结构图 Char"/>
    <w:basedOn w:val="60"/>
    <w:link w:val="17"/>
    <w:semiHidden/>
    <w:qFormat/>
    <w:locked/>
    <w:uiPriority w:val="99"/>
    <w:rPr>
      <w:rFonts w:eastAsia="楷体_GB2312" w:cs="Times New Roman"/>
      <w:sz w:val="2"/>
    </w:rPr>
  </w:style>
  <w:style w:type="character" w:customStyle="1" w:styleId="88">
    <w:name w:val="正文文本 Char"/>
    <w:basedOn w:val="60"/>
    <w:link w:val="22"/>
    <w:qFormat/>
    <w:locked/>
    <w:uiPriority w:val="0"/>
    <w:rPr>
      <w:rFonts w:eastAsia="楷体_GB2312" w:cs="Times New Roman"/>
      <w:sz w:val="20"/>
    </w:rPr>
  </w:style>
  <w:style w:type="character" w:customStyle="1" w:styleId="89">
    <w:name w:val="正文文本缩进 Char"/>
    <w:basedOn w:val="60"/>
    <w:link w:val="23"/>
    <w:qFormat/>
    <w:locked/>
    <w:uiPriority w:val="0"/>
    <w:rPr>
      <w:rFonts w:ascii="方正仿宋简体" w:hAnsi="创艺简仿宋" w:eastAsia="方正仿宋简体" w:cs="Times New Roman"/>
      <w:kern w:val="2"/>
      <w:sz w:val="24"/>
      <w:lang w:val="en-US" w:eastAsia="zh-CN"/>
    </w:rPr>
  </w:style>
  <w:style w:type="character" w:customStyle="1" w:styleId="90">
    <w:name w:val="纯文本 Char"/>
    <w:basedOn w:val="60"/>
    <w:link w:val="28"/>
    <w:qFormat/>
    <w:locked/>
    <w:uiPriority w:val="0"/>
    <w:rPr>
      <w:rFonts w:ascii="宋体" w:hAnsi="Courier New" w:eastAsia="楷体_GB2312" w:cs="Times New Roman"/>
      <w:kern w:val="2"/>
      <w:sz w:val="26"/>
      <w:lang w:val="en-US" w:eastAsia="zh-CN"/>
    </w:rPr>
  </w:style>
  <w:style w:type="character" w:customStyle="1" w:styleId="91">
    <w:name w:val="日期 Char"/>
    <w:basedOn w:val="60"/>
    <w:link w:val="31"/>
    <w:qFormat/>
    <w:locked/>
    <w:uiPriority w:val="0"/>
    <w:rPr>
      <w:rFonts w:eastAsia="楷体_GB2312" w:cs="Times New Roman"/>
      <w:sz w:val="20"/>
    </w:rPr>
  </w:style>
  <w:style w:type="character" w:customStyle="1" w:styleId="92">
    <w:name w:val="正文文本缩进 2 Char"/>
    <w:basedOn w:val="60"/>
    <w:link w:val="32"/>
    <w:semiHidden/>
    <w:qFormat/>
    <w:locked/>
    <w:uiPriority w:val="99"/>
    <w:rPr>
      <w:rFonts w:eastAsia="楷体_GB2312" w:cs="Times New Roman"/>
      <w:sz w:val="20"/>
    </w:rPr>
  </w:style>
  <w:style w:type="character" w:customStyle="1" w:styleId="93">
    <w:name w:val="批注框文本 Char"/>
    <w:basedOn w:val="60"/>
    <w:link w:val="34"/>
    <w:semiHidden/>
    <w:qFormat/>
    <w:locked/>
    <w:uiPriority w:val="99"/>
    <w:rPr>
      <w:rFonts w:eastAsia="楷体_GB2312" w:cs="Times New Roman"/>
      <w:sz w:val="2"/>
    </w:rPr>
  </w:style>
  <w:style w:type="character" w:customStyle="1" w:styleId="94">
    <w:name w:val="页脚 Char"/>
    <w:basedOn w:val="60"/>
    <w:link w:val="35"/>
    <w:qFormat/>
    <w:locked/>
    <w:uiPriority w:val="0"/>
    <w:rPr>
      <w:rFonts w:eastAsia="楷体_GB2312" w:cs="Times New Roman"/>
      <w:sz w:val="18"/>
    </w:rPr>
  </w:style>
  <w:style w:type="character" w:customStyle="1" w:styleId="95">
    <w:name w:val="页眉 Char"/>
    <w:basedOn w:val="60"/>
    <w:link w:val="36"/>
    <w:qFormat/>
    <w:locked/>
    <w:uiPriority w:val="99"/>
    <w:rPr>
      <w:rFonts w:eastAsia="楷体_GB2312" w:cs="Times New Roman"/>
      <w:kern w:val="2"/>
      <w:sz w:val="18"/>
    </w:rPr>
  </w:style>
  <w:style w:type="character" w:customStyle="1" w:styleId="96">
    <w:name w:val="脚注文本 Char"/>
    <w:basedOn w:val="60"/>
    <w:link w:val="42"/>
    <w:semiHidden/>
    <w:qFormat/>
    <w:locked/>
    <w:uiPriority w:val="99"/>
    <w:rPr>
      <w:rFonts w:eastAsia="楷体_GB2312" w:cs="Times New Roman"/>
      <w:sz w:val="18"/>
    </w:rPr>
  </w:style>
  <w:style w:type="character" w:customStyle="1" w:styleId="97">
    <w:name w:val="正文文本缩进 3 Char"/>
    <w:basedOn w:val="60"/>
    <w:link w:val="44"/>
    <w:qFormat/>
    <w:locked/>
    <w:uiPriority w:val="0"/>
    <w:rPr>
      <w:rFonts w:eastAsia="楷体_GB2312" w:cs="Times New Roman"/>
      <w:sz w:val="16"/>
    </w:rPr>
  </w:style>
  <w:style w:type="character" w:customStyle="1" w:styleId="98">
    <w:name w:val="HTML 预设格式 Char"/>
    <w:basedOn w:val="60"/>
    <w:link w:val="51"/>
    <w:semiHidden/>
    <w:qFormat/>
    <w:locked/>
    <w:uiPriority w:val="99"/>
    <w:rPr>
      <w:rFonts w:ascii="Courier New" w:hAnsi="Courier New" w:eastAsia="楷体_GB2312" w:cs="Times New Roman"/>
      <w:sz w:val="20"/>
    </w:rPr>
  </w:style>
  <w:style w:type="character" w:customStyle="1" w:styleId="99">
    <w:name w:val="标题 Char"/>
    <w:basedOn w:val="60"/>
    <w:link w:val="54"/>
    <w:qFormat/>
    <w:locked/>
    <w:uiPriority w:val="0"/>
    <w:rPr>
      <w:rFonts w:ascii="Cambria" w:hAnsi="Cambria" w:cs="Times New Roman"/>
      <w:b/>
      <w:bCs/>
      <w:sz w:val="32"/>
      <w:szCs w:val="32"/>
    </w:rPr>
  </w:style>
  <w:style w:type="paragraph" w:customStyle="1" w:styleId="100">
    <w:name w:val="列出段落1"/>
    <w:basedOn w:val="1"/>
    <w:qFormat/>
    <w:uiPriority w:val="99"/>
    <w:pPr>
      <w:ind w:firstLine="420" w:firstLineChars="200"/>
    </w:pPr>
    <w:rPr>
      <w:rFonts w:eastAsia="宋体"/>
      <w:sz w:val="21"/>
      <w:szCs w:val="24"/>
    </w:rPr>
  </w:style>
  <w:style w:type="paragraph" w:customStyle="1" w:styleId="101">
    <w:name w:val="Char"/>
    <w:basedOn w:val="1"/>
    <w:qFormat/>
    <w:uiPriority w:val="99"/>
    <w:pPr>
      <w:widowControl/>
      <w:spacing w:line="240" w:lineRule="exact"/>
      <w:jc w:val="left"/>
    </w:pPr>
    <w:rPr>
      <w:rFonts w:ascii="Verdana" w:hAnsi="Verdana" w:eastAsia="宋体"/>
      <w:kern w:val="0"/>
      <w:sz w:val="21"/>
      <w:lang w:eastAsia="en-US"/>
    </w:rPr>
  </w:style>
  <w:style w:type="paragraph" w:customStyle="1" w:styleId="102">
    <w:name w:val="纯文本1"/>
    <w:basedOn w:val="1"/>
    <w:qFormat/>
    <w:uiPriority w:val="99"/>
    <w:pPr>
      <w:adjustRightInd w:val="0"/>
      <w:textAlignment w:val="baseline"/>
    </w:pPr>
    <w:rPr>
      <w:rFonts w:ascii="宋体" w:hAnsi="Courier New"/>
      <w:sz w:val="28"/>
    </w:rPr>
  </w:style>
  <w:style w:type="paragraph" w:customStyle="1" w:styleId="103">
    <w:name w:val="图"/>
    <w:basedOn w:val="1"/>
    <w:qFormat/>
    <w:uiPriority w:val="99"/>
    <w:pPr>
      <w:keepNext/>
      <w:adjustRightInd w:val="0"/>
      <w:spacing w:line="300" w:lineRule="auto"/>
      <w:jc w:val="center"/>
      <w:textAlignment w:val="center"/>
    </w:pPr>
    <w:rPr>
      <w:rFonts w:eastAsia="宋体"/>
      <w:spacing w:val="20"/>
      <w:kern w:val="0"/>
      <w:sz w:val="24"/>
    </w:rPr>
  </w:style>
  <w:style w:type="paragraph" w:customStyle="1" w:styleId="104">
    <w:name w:val="Char Char1 Char Char Char Char"/>
    <w:basedOn w:val="17"/>
    <w:qFormat/>
    <w:uiPriority w:val="99"/>
    <w:pPr>
      <w:adjustRightInd w:val="0"/>
      <w:snapToGrid w:val="0"/>
      <w:spacing w:line="360" w:lineRule="auto"/>
    </w:pPr>
    <w:rPr>
      <w:rFonts w:ascii="Tahoma" w:hAnsi="Tahoma" w:eastAsia="宋体"/>
      <w:sz w:val="24"/>
      <w:szCs w:val="24"/>
    </w:rPr>
  </w:style>
  <w:style w:type="paragraph" w:customStyle="1" w:styleId="105">
    <w:name w:val="纯文本2"/>
    <w:basedOn w:val="1"/>
    <w:qFormat/>
    <w:uiPriority w:val="99"/>
    <w:pPr>
      <w:adjustRightInd w:val="0"/>
      <w:textAlignment w:val="baseline"/>
    </w:pPr>
    <w:rPr>
      <w:rFonts w:ascii="宋体" w:hAnsi="Courier New"/>
    </w:rPr>
  </w:style>
  <w:style w:type="paragraph" w:customStyle="1" w:styleId="106">
    <w:name w:val="_Style 1"/>
    <w:basedOn w:val="1"/>
    <w:qFormat/>
    <w:uiPriority w:val="99"/>
    <w:pPr>
      <w:ind w:firstLine="420" w:firstLineChars="200"/>
    </w:pPr>
  </w:style>
  <w:style w:type="paragraph" w:customStyle="1" w:styleId="107">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8">
    <w:name w:val="Char1"/>
    <w:basedOn w:val="1"/>
    <w:qFormat/>
    <w:uiPriority w:val="99"/>
    <w:rPr>
      <w:rFonts w:ascii="Tahoma" w:hAnsi="Tahoma" w:eastAsia="宋体"/>
      <w:sz w:val="24"/>
    </w:rPr>
  </w:style>
  <w:style w:type="character" w:customStyle="1" w:styleId="109">
    <w:name w:val="bds_more5"/>
    <w:qFormat/>
    <w:uiPriority w:val="99"/>
  </w:style>
  <w:style w:type="character" w:customStyle="1" w:styleId="110">
    <w:name w:val="noused"/>
    <w:qFormat/>
    <w:uiPriority w:val="99"/>
    <w:rPr>
      <w:b/>
      <w:color w:val="FFFFFF"/>
      <w:sz w:val="21"/>
    </w:rPr>
  </w:style>
  <w:style w:type="character" w:customStyle="1" w:styleId="111">
    <w:name w:val="正文缩进 Char"/>
    <w:link w:val="8"/>
    <w:qFormat/>
    <w:locked/>
    <w:uiPriority w:val="0"/>
    <w:rPr>
      <w:rFonts w:eastAsia="楷体_GB2312"/>
      <w:kern w:val="2"/>
      <w:sz w:val="24"/>
      <w:lang w:val="en-US" w:eastAsia="zh-CN"/>
    </w:rPr>
  </w:style>
  <w:style w:type="character" w:customStyle="1" w:styleId="112">
    <w:name w:val="Char Char2"/>
    <w:qFormat/>
    <w:uiPriority w:val="99"/>
    <w:rPr>
      <w:rFonts w:ascii="宋体" w:hAnsi="宋体" w:eastAsia="楷体_GB2312"/>
      <w:b/>
      <w:kern w:val="2"/>
      <w:sz w:val="26"/>
      <w:lang w:val="en-US" w:eastAsia="zh-CN"/>
    </w:rPr>
  </w:style>
  <w:style w:type="character" w:customStyle="1" w:styleId="113">
    <w:name w:val="bds_nopic1"/>
    <w:qFormat/>
    <w:uiPriority w:val="99"/>
  </w:style>
  <w:style w:type="character" w:customStyle="1" w:styleId="114">
    <w:name w:val="state"/>
    <w:qFormat/>
    <w:uiPriority w:val="99"/>
    <w:rPr>
      <w:b/>
      <w:color w:val="FFFFFF"/>
      <w:sz w:val="19"/>
    </w:rPr>
  </w:style>
  <w:style w:type="character" w:customStyle="1" w:styleId="115">
    <w:name w:val="bds_more6"/>
    <w:qFormat/>
    <w:uiPriority w:val="99"/>
  </w:style>
  <w:style w:type="character" w:customStyle="1" w:styleId="116">
    <w:name w:val="active"/>
    <w:qFormat/>
    <w:uiPriority w:val="99"/>
    <w:rPr>
      <w:color w:val="00FF00"/>
      <w:shd w:val="clear" w:color="auto" w:fill="000000"/>
    </w:rPr>
  </w:style>
  <w:style w:type="character" w:customStyle="1" w:styleId="117">
    <w:name w:val="bds_nopic2"/>
    <w:qFormat/>
    <w:uiPriority w:val="99"/>
  </w:style>
  <w:style w:type="character" w:customStyle="1" w:styleId="118">
    <w:name w:val="hilite6"/>
    <w:qFormat/>
    <w:uiPriority w:val="99"/>
    <w:rPr>
      <w:color w:val="FFFFFF"/>
      <w:shd w:val="clear" w:color="auto" w:fill="776666"/>
    </w:rPr>
  </w:style>
  <w:style w:type="character" w:customStyle="1" w:styleId="119">
    <w:name w:val="active8"/>
    <w:qFormat/>
    <w:uiPriority w:val="99"/>
    <w:rPr>
      <w:color w:val="00FF00"/>
      <w:shd w:val="clear" w:color="auto" w:fill="000000"/>
    </w:rPr>
  </w:style>
  <w:style w:type="character" w:customStyle="1" w:styleId="120">
    <w:name w:val="bds_more8"/>
    <w:qFormat/>
    <w:uiPriority w:val="99"/>
    <w:rPr>
      <w:rFonts w:ascii="宋体" w:hAnsi="宋体" w:eastAsia="宋体"/>
    </w:rPr>
  </w:style>
  <w:style w:type="character" w:customStyle="1" w:styleId="121">
    <w:name w:val="other"/>
    <w:qFormat/>
    <w:uiPriority w:val="99"/>
  </w:style>
  <w:style w:type="character" w:customStyle="1" w:styleId="122">
    <w:name w:val="hover61"/>
    <w:qFormat/>
    <w:uiPriority w:val="99"/>
    <w:rPr>
      <w:shd w:val="clear" w:color="auto" w:fill="FF0000"/>
    </w:rPr>
  </w:style>
  <w:style w:type="character" w:customStyle="1" w:styleId="123">
    <w:name w:val="bsharetext"/>
    <w:qFormat/>
    <w:uiPriority w:val="99"/>
  </w:style>
  <w:style w:type="character" w:customStyle="1" w:styleId="124">
    <w:name w:val="bds_nopic"/>
    <w:qFormat/>
    <w:uiPriority w:val="99"/>
  </w:style>
  <w:style w:type="character" w:customStyle="1" w:styleId="125">
    <w:name w:val="grid2"/>
    <w:qFormat/>
    <w:uiPriority w:val="99"/>
  </w:style>
  <w:style w:type="character" w:customStyle="1" w:styleId="126">
    <w:name w:val="hilite"/>
    <w:qFormat/>
    <w:uiPriority w:val="99"/>
    <w:rPr>
      <w:color w:val="FFFFFF"/>
      <w:shd w:val="clear" w:color="auto" w:fill="776666"/>
    </w:rPr>
  </w:style>
  <w:style w:type="character" w:customStyle="1" w:styleId="127">
    <w:name w:val="bds_more4"/>
    <w:qFormat/>
    <w:uiPriority w:val="99"/>
    <w:rPr>
      <w:rFonts w:ascii="宋体" w:hAnsi="宋体" w:eastAsia="宋体"/>
    </w:rPr>
  </w:style>
  <w:style w:type="character" w:customStyle="1" w:styleId="128">
    <w:name w:val="bds_more7"/>
    <w:qFormat/>
    <w:uiPriority w:val="99"/>
  </w:style>
  <w:style w:type="character" w:customStyle="1" w:styleId="129">
    <w:name w:val="grid"/>
    <w:qFormat/>
    <w:uiPriority w:val="99"/>
  </w:style>
  <w:style w:type="paragraph" w:customStyle="1" w:styleId="130">
    <w:name w:val="纯文本3"/>
    <w:basedOn w:val="1"/>
    <w:qFormat/>
    <w:uiPriority w:val="99"/>
    <w:pPr>
      <w:adjustRightInd w:val="0"/>
      <w:textAlignment w:val="baseline"/>
    </w:pPr>
    <w:rPr>
      <w:rFonts w:ascii="宋体" w:hAnsi="Courier New"/>
    </w:rPr>
  </w:style>
  <w:style w:type="paragraph" w:customStyle="1" w:styleId="131">
    <w:name w:val="正文文字3"/>
    <w:basedOn w:val="22"/>
    <w:qFormat/>
    <w:uiPriority w:val="0"/>
    <w:pPr>
      <w:ind w:left="30" w:leftChars="30" w:right="30" w:rightChars="30"/>
    </w:pPr>
  </w:style>
  <w:style w:type="paragraph" w:customStyle="1" w:styleId="132">
    <w:name w:val="flNote"/>
    <w:basedOn w:val="1"/>
    <w:qFormat/>
    <w:uiPriority w:val="0"/>
    <w:pPr>
      <w:spacing w:before="320" w:after="160"/>
      <w:jc w:val="center"/>
    </w:pPr>
    <w:rPr>
      <w:rFonts w:ascii="Arial" w:eastAsia="黑体"/>
      <w:sz w:val="30"/>
    </w:rPr>
  </w:style>
  <w:style w:type="paragraph" w:customStyle="1" w:styleId="133">
    <w:name w:val="Plain Text1"/>
    <w:basedOn w:val="1"/>
    <w:qFormat/>
    <w:uiPriority w:val="99"/>
    <w:rPr>
      <w:rFonts w:ascii="宋体" w:hAnsi="Courier New"/>
      <w:sz w:val="28"/>
    </w:rPr>
  </w:style>
  <w:style w:type="paragraph" w:customStyle="1" w:styleId="134">
    <w:name w:val="标题 2 + 黑色 行距: 1.5 倍行距"/>
    <w:basedOn w:val="4"/>
    <w:qFormat/>
    <w:uiPriority w:val="99"/>
    <w:pPr>
      <w:spacing w:line="360" w:lineRule="auto"/>
    </w:pPr>
    <w:rPr>
      <w:rFonts w:eastAsia="宋体" w:cs="宋体"/>
      <w:color w:val="000000"/>
    </w:rPr>
  </w:style>
  <w:style w:type="character" w:customStyle="1" w:styleId="135">
    <w:name w:val="font11"/>
    <w:basedOn w:val="60"/>
    <w:qFormat/>
    <w:uiPriority w:val="0"/>
    <w:rPr>
      <w:rFonts w:hint="eastAsia" w:ascii="宋体" w:hAnsi="宋体" w:eastAsia="宋体" w:cs="宋体"/>
      <w:color w:val="000000"/>
      <w:sz w:val="24"/>
      <w:szCs w:val="24"/>
      <w:u w:val="none"/>
    </w:rPr>
  </w:style>
  <w:style w:type="paragraph" w:styleId="136">
    <w:name w:val="List Paragraph"/>
    <w:basedOn w:val="1"/>
    <w:unhideWhenUsed/>
    <w:qFormat/>
    <w:uiPriority w:val="99"/>
    <w:pPr>
      <w:ind w:firstLine="420" w:firstLineChars="200"/>
    </w:pPr>
  </w:style>
  <w:style w:type="character" w:customStyle="1" w:styleId="137">
    <w:name w:val="flName Char"/>
    <w:qFormat/>
    <w:uiPriority w:val="0"/>
    <w:rPr>
      <w:rFonts w:ascii="Arial" w:hAnsi="Arial" w:eastAsia="黑体"/>
      <w:sz w:val="32"/>
      <w:lang w:val="en-US" w:eastAsia="zh-CN"/>
    </w:rPr>
  </w:style>
  <w:style w:type="character" w:customStyle="1" w:styleId="138">
    <w:name w:val="样式 宋体"/>
    <w:qFormat/>
    <w:uiPriority w:val="0"/>
    <w:rPr>
      <w:rFonts w:ascii="宋体" w:hAnsi="宋体" w:eastAsia="宋体"/>
      <w:sz w:val="24"/>
      <w:szCs w:val="24"/>
    </w:rPr>
  </w:style>
  <w:style w:type="character" w:customStyle="1" w:styleId="139">
    <w:name w:val="style81"/>
    <w:qFormat/>
    <w:uiPriority w:val="0"/>
    <w:rPr>
      <w:b/>
      <w:bCs/>
      <w:color w:val="666666"/>
      <w:sz w:val="21"/>
      <w:szCs w:val="21"/>
    </w:rPr>
  </w:style>
  <w:style w:type="character" w:customStyle="1" w:styleId="140">
    <w:name w:val="尾注文本 Char"/>
    <w:qFormat/>
    <w:uiPriority w:val="0"/>
    <w:rPr>
      <w:sz w:val="24"/>
    </w:rPr>
  </w:style>
  <w:style w:type="character" w:customStyle="1" w:styleId="141">
    <w:name w:val="正文1 Char"/>
    <w:qFormat/>
    <w:uiPriority w:val="0"/>
    <w:rPr>
      <w:rFonts w:ascii="宋体" w:hAnsi="宋体" w:eastAsia="宋体"/>
      <w:b/>
      <w:kern w:val="2"/>
      <w:sz w:val="24"/>
      <w:szCs w:val="24"/>
      <w:lang w:val="en-US" w:eastAsia="zh-CN" w:bidi="ar-SA"/>
    </w:rPr>
  </w:style>
  <w:style w:type="character" w:customStyle="1" w:styleId="142">
    <w:name w:val="正文首行缩进 Char"/>
    <w:basedOn w:val="88"/>
    <w:qFormat/>
    <w:uiPriority w:val="0"/>
    <w:rPr>
      <w:rFonts w:eastAsia="楷体_GB2312" w:cs="Times New Roman"/>
      <w:sz w:val="21"/>
    </w:rPr>
  </w:style>
  <w:style w:type="character" w:customStyle="1" w:styleId="143">
    <w:name w:val="standdate1"/>
    <w:qFormat/>
    <w:uiPriority w:val="0"/>
    <w:rPr>
      <w:rFonts w:ascii="黑体" w:eastAsia="黑体"/>
      <w:color w:val="auto"/>
      <w:sz w:val="24"/>
      <w:u w:val="none"/>
    </w:rPr>
  </w:style>
  <w:style w:type="character" w:customStyle="1" w:styleId="144">
    <w:name w:val="正文首行缩进 2 Char"/>
    <w:basedOn w:val="89"/>
    <w:qFormat/>
    <w:uiPriority w:val="0"/>
    <w:rPr>
      <w:rFonts w:ascii="方正仿宋简体" w:hAnsi="创艺简仿宋" w:eastAsia="方正仿宋简体" w:cs="Times New Roman"/>
      <w:kern w:val="2"/>
      <w:sz w:val="28"/>
      <w:lang w:val="en-US" w:eastAsia="zh-CN"/>
    </w:rPr>
  </w:style>
  <w:style w:type="character" w:customStyle="1" w:styleId="145">
    <w:name w:val="正文文本 2 Char"/>
    <w:basedOn w:val="60"/>
    <w:link w:val="50"/>
    <w:qFormat/>
    <w:uiPriority w:val="0"/>
    <w:rPr>
      <w:rFonts w:ascii="仿宋_GB2312" w:eastAsia="仿宋_GB2312"/>
      <w:sz w:val="24"/>
      <w:szCs w:val="24"/>
    </w:rPr>
  </w:style>
  <w:style w:type="character" w:customStyle="1" w:styleId="146">
    <w:name w:val="正文文本 3 Char"/>
    <w:basedOn w:val="60"/>
    <w:link w:val="21"/>
    <w:qFormat/>
    <w:uiPriority w:val="0"/>
    <w:rPr>
      <w:color w:val="FF0000"/>
      <w:sz w:val="21"/>
      <w:szCs w:val="21"/>
    </w:rPr>
  </w:style>
  <w:style w:type="character" w:customStyle="1" w:styleId="147">
    <w:name w:val="正文首行缩进 Char1"/>
    <w:basedOn w:val="88"/>
    <w:link w:val="56"/>
    <w:semiHidden/>
    <w:qFormat/>
    <w:uiPriority w:val="99"/>
    <w:rPr>
      <w:rFonts w:eastAsia="楷体_GB2312" w:cs="Times New Roman"/>
      <w:kern w:val="2"/>
      <w:sz w:val="26"/>
    </w:rPr>
  </w:style>
  <w:style w:type="character" w:customStyle="1" w:styleId="148">
    <w:name w:val="副标题 Char"/>
    <w:basedOn w:val="60"/>
    <w:link w:val="41"/>
    <w:qFormat/>
    <w:uiPriority w:val="0"/>
    <w:rPr>
      <w:rFonts w:ascii="Arial" w:hAnsi="Arial" w:eastAsia="黑体"/>
      <w:i/>
      <w:sz w:val="24"/>
    </w:rPr>
  </w:style>
  <w:style w:type="paragraph" w:customStyle="1" w:styleId="149">
    <w:name w:val="flName"/>
    <w:basedOn w:val="132"/>
    <w:qFormat/>
    <w:uiPriority w:val="0"/>
    <w:pPr>
      <w:adjustRightInd w:val="0"/>
      <w:spacing w:line="360" w:lineRule="atLeast"/>
      <w:textAlignment w:val="baseline"/>
    </w:pPr>
    <w:rPr>
      <w:rFonts w:hAnsi="Arial"/>
      <w:kern w:val="0"/>
      <w:sz w:val="32"/>
    </w:rPr>
  </w:style>
  <w:style w:type="paragraph" w:customStyle="1" w:styleId="150">
    <w:name w:val="Char Char1 Char"/>
    <w:basedOn w:val="1"/>
    <w:qFormat/>
    <w:uiPriority w:val="0"/>
    <w:rPr>
      <w:rFonts w:eastAsia="宋体"/>
      <w:sz w:val="24"/>
      <w:szCs w:val="24"/>
    </w:rPr>
  </w:style>
  <w:style w:type="character" w:customStyle="1" w:styleId="151">
    <w:name w:val="尾注文本 Char1"/>
    <w:basedOn w:val="60"/>
    <w:link w:val="33"/>
    <w:semiHidden/>
    <w:qFormat/>
    <w:uiPriority w:val="99"/>
    <w:rPr>
      <w:rFonts w:eastAsia="楷体_GB2312"/>
      <w:kern w:val="2"/>
      <w:sz w:val="26"/>
    </w:rPr>
  </w:style>
  <w:style w:type="character" w:customStyle="1" w:styleId="152">
    <w:name w:val="正文首行缩进 2 Char1"/>
    <w:basedOn w:val="89"/>
    <w:link w:val="57"/>
    <w:semiHidden/>
    <w:qFormat/>
    <w:uiPriority w:val="99"/>
    <w:rPr>
      <w:rFonts w:ascii="方正仿宋简体" w:hAnsi="创艺简仿宋" w:eastAsia="楷体_GB2312" w:cs="Times New Roman"/>
      <w:kern w:val="2"/>
      <w:sz w:val="26"/>
      <w:lang w:val="en-US" w:eastAsia="zh-CN"/>
    </w:rPr>
  </w:style>
  <w:style w:type="paragraph" w:customStyle="1" w:styleId="153">
    <w:name w:val="TOC 标题1"/>
    <w:basedOn w:val="3"/>
    <w:next w:val="1"/>
    <w:qFormat/>
    <w:uiPriority w:val="39"/>
    <w:pPr>
      <w:widowControl/>
      <w:tabs>
        <w:tab w:val="left" w:pos="360"/>
      </w:tabs>
      <w:spacing w:before="480" w:line="276" w:lineRule="auto"/>
      <w:jc w:val="left"/>
      <w:outlineLvl w:val="9"/>
    </w:pPr>
    <w:rPr>
      <w:rFonts w:ascii="Cambria" w:hAnsi="Cambria" w:eastAsia="宋体"/>
      <w:color w:val="365F91"/>
      <w:kern w:val="0"/>
      <w:sz w:val="28"/>
      <w:szCs w:val="28"/>
    </w:rPr>
  </w:style>
  <w:style w:type="paragraph" w:customStyle="1" w:styleId="154">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55">
    <w:name w:val="样式 标题 2b2节标题 1.11.1标题2 + 宋体 五号 段前: 6 磅 段后: 0 磅 行距: 1.5 倍行距"/>
    <w:basedOn w:val="4"/>
    <w:qFormat/>
    <w:uiPriority w:val="0"/>
    <w:pPr>
      <w:tabs>
        <w:tab w:val="left" w:pos="928"/>
      </w:tabs>
      <w:overflowPunct/>
      <w:spacing w:before="260" w:after="260" w:line="360" w:lineRule="auto"/>
    </w:pPr>
    <w:rPr>
      <w:rFonts w:eastAsia="宋体" w:cs="宋体"/>
      <w:bCs/>
      <w:kern w:val="0"/>
      <w:sz w:val="24"/>
      <w:szCs w:val="24"/>
    </w:rPr>
  </w:style>
  <w:style w:type="paragraph" w:customStyle="1" w:styleId="156">
    <w:name w:val="font0"/>
    <w:basedOn w:val="1"/>
    <w:qFormat/>
    <w:uiPriority w:val="0"/>
    <w:pPr>
      <w:widowControl/>
      <w:spacing w:before="100" w:after="100"/>
      <w:jc w:val="left"/>
    </w:pPr>
    <w:rPr>
      <w:rFonts w:ascii="宋体" w:hAnsi="宋体" w:eastAsia="宋体"/>
      <w:kern w:val="0"/>
      <w:sz w:val="24"/>
    </w:rPr>
  </w:style>
  <w:style w:type="paragraph" w:customStyle="1" w:styleId="157">
    <w:name w:val="Char2"/>
    <w:basedOn w:val="17"/>
    <w:next w:val="1"/>
    <w:qFormat/>
    <w:uiPriority w:val="0"/>
    <w:rPr>
      <w:rFonts w:ascii="Tahoma" w:hAnsi="Tahoma" w:eastAsia="宋体"/>
      <w:kern w:val="2"/>
      <w:sz w:val="24"/>
      <w:szCs w:val="24"/>
    </w:rPr>
  </w:style>
  <w:style w:type="paragraph" w:customStyle="1" w:styleId="158">
    <w:name w:val="standdate"/>
    <w:basedOn w:val="35"/>
    <w:qFormat/>
    <w:uiPriority w:val="0"/>
    <w:pPr>
      <w:pBdr>
        <w:top w:val="single" w:color="auto" w:sz="6" w:space="7"/>
      </w:pBdr>
      <w:adjustRightInd w:val="0"/>
      <w:snapToGrid/>
      <w:spacing w:line="240" w:lineRule="atLeast"/>
      <w:jc w:val="center"/>
      <w:textAlignment w:val="center"/>
    </w:pPr>
    <w:rPr>
      <w:rFonts w:ascii="黑体" w:eastAsia="黑体"/>
      <w:b/>
      <w:spacing w:val="-4"/>
      <w:sz w:val="21"/>
      <w:szCs w:val="20"/>
    </w:rPr>
  </w:style>
  <w:style w:type="paragraph" w:customStyle="1" w:styleId="159">
    <w:name w:val="标题 10 + 小四"/>
    <w:basedOn w:val="3"/>
    <w:qFormat/>
    <w:uiPriority w:val="0"/>
    <w:pPr>
      <w:widowControl/>
      <w:tabs>
        <w:tab w:val="left" w:pos="360"/>
      </w:tabs>
      <w:spacing w:before="340" w:after="330" w:line="360" w:lineRule="auto"/>
      <w:jc w:val="left"/>
    </w:pPr>
    <w:rPr>
      <w:rFonts w:eastAsia="宋体"/>
      <w:sz w:val="24"/>
      <w:szCs w:val="24"/>
    </w:rPr>
  </w:style>
  <w:style w:type="paragraph" w:customStyle="1" w:styleId="160">
    <w:name w:val="Char3"/>
    <w:basedOn w:val="1"/>
    <w:qFormat/>
    <w:uiPriority w:val="0"/>
    <w:rPr>
      <w:rFonts w:eastAsia="宋体"/>
      <w:sz w:val="21"/>
      <w:szCs w:val="24"/>
    </w:rPr>
  </w:style>
  <w:style w:type="paragraph" w:customStyle="1" w:styleId="161">
    <w:name w:val="样式 标题 2 + 黑色 行距: 1.5 倍行距"/>
    <w:basedOn w:val="4"/>
    <w:qFormat/>
    <w:uiPriority w:val="0"/>
    <w:pPr>
      <w:tabs>
        <w:tab w:val="left" w:pos="928"/>
      </w:tabs>
      <w:overflowPunct/>
      <w:adjustRightInd/>
      <w:spacing w:before="260" w:after="260" w:line="360" w:lineRule="auto"/>
      <w:jc w:val="both"/>
      <w:textAlignment w:val="auto"/>
    </w:pPr>
    <w:rPr>
      <w:rFonts w:ascii="Arial" w:hAnsi="Arial" w:eastAsia="宋体" w:cs="宋体"/>
      <w:color w:val="000000"/>
      <w:sz w:val="32"/>
    </w:rPr>
  </w:style>
  <w:style w:type="paragraph" w:customStyle="1" w:styleId="162">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63">
    <w:name w:val="注"/>
    <w:basedOn w:val="1"/>
    <w:qFormat/>
    <w:uiPriority w:val="0"/>
    <w:pPr>
      <w:adjustRightInd w:val="0"/>
      <w:spacing w:line="360" w:lineRule="atLeast"/>
      <w:ind w:left="840" w:hanging="420"/>
      <w:textAlignment w:val="baseline"/>
    </w:pPr>
    <w:rPr>
      <w:rFonts w:eastAsia="宋体"/>
      <w:kern w:val="0"/>
      <w:sz w:val="21"/>
    </w:rPr>
  </w:style>
  <w:style w:type="paragraph" w:customStyle="1" w:styleId="164">
    <w:name w:val="正文文字2"/>
    <w:basedOn w:val="22"/>
    <w:qFormat/>
    <w:uiPriority w:val="0"/>
    <w:pPr>
      <w:adjustRightInd w:val="0"/>
      <w:spacing w:after="60" w:line="360" w:lineRule="atLeast"/>
      <w:ind w:left="30" w:leftChars="30" w:right="30" w:rightChars="30"/>
      <w:jc w:val="center"/>
      <w:textAlignment w:val="baseline"/>
    </w:pPr>
    <w:rPr>
      <w:rFonts w:ascii="Arial" w:hAnsi="Arial" w:eastAsia="黑体"/>
      <w:sz w:val="21"/>
    </w:rPr>
  </w:style>
  <w:style w:type="paragraph" w:customStyle="1" w:styleId="165">
    <w:name w:val="flType"/>
    <w:basedOn w:val="149"/>
    <w:qFormat/>
    <w:uiPriority w:val="0"/>
    <w:pPr>
      <w:spacing w:before="560" w:after="120"/>
    </w:pPr>
    <w:rPr>
      <w:sz w:val="28"/>
    </w:rPr>
  </w:style>
  <w:style w:type="paragraph" w:customStyle="1" w:styleId="166">
    <w:name w:val="字元 字元"/>
    <w:basedOn w:val="1"/>
    <w:qFormat/>
    <w:uiPriority w:val="0"/>
    <w:rPr>
      <w:rFonts w:eastAsia="宋体"/>
      <w:sz w:val="21"/>
      <w:szCs w:val="24"/>
    </w:rPr>
  </w:style>
  <w:style w:type="paragraph" w:customStyle="1" w:styleId="167">
    <w:name w:val="修订1"/>
    <w:hidden/>
    <w:unhideWhenUsed/>
    <w:qFormat/>
    <w:uiPriority w:val="99"/>
    <w:rPr>
      <w:rFonts w:ascii="Times New Roman" w:hAnsi="Times New Roman" w:eastAsia="楷体_GB2312" w:cs="Times New Roman"/>
      <w:kern w:val="2"/>
      <w:sz w:val="26"/>
      <w:lang w:val="en-US" w:eastAsia="zh-CN" w:bidi="ar-SA"/>
    </w:rPr>
  </w:style>
  <w:style w:type="character" w:customStyle="1" w:styleId="168">
    <w:name w:val="Variable"/>
    <w:qFormat/>
    <w:uiPriority w:val="0"/>
    <w:rPr>
      <w:i/>
    </w:rPr>
  </w:style>
  <w:style w:type="paragraph" w:customStyle="1" w:styleId="169">
    <w:name w:val="正文首行缩进 21"/>
    <w:basedOn w:val="170"/>
    <w:qFormat/>
    <w:uiPriority w:val="0"/>
    <w:pPr>
      <w:ind w:firstLine="200" w:firstLineChars="200"/>
    </w:pPr>
  </w:style>
  <w:style w:type="paragraph" w:customStyle="1" w:styleId="170">
    <w:name w:val="正文文本缩进 New"/>
    <w:basedOn w:val="171"/>
    <w:next w:val="172"/>
    <w:qFormat/>
    <w:uiPriority w:val="0"/>
    <w:pPr>
      <w:ind w:left="420" w:leftChars="200"/>
    </w:pPr>
  </w:style>
  <w:style w:type="paragraph" w:customStyle="1" w:styleId="171">
    <w:name w:val="正文 New"/>
    <w:next w:val="16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
    <w:name w:val="寄信人地址 New"/>
    <w:basedOn w:val="171"/>
    <w:qFormat/>
    <w:uiPriority w:val="0"/>
    <w:pPr>
      <w:snapToGrid w:val="0"/>
    </w:pPr>
    <w:rPr>
      <w:rFonts w:ascii="Arial" w:hAnsi="Arial"/>
    </w:rPr>
  </w:style>
  <w:style w:type="paragraph" w:customStyle="1" w:styleId="173">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74">
    <w:name w:val="普通(网站) Cha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75">
    <w:name w:val="样式 小四 加粗"/>
    <w:basedOn w:val="60"/>
    <w:qFormat/>
    <w:uiPriority w:val="0"/>
    <w:rPr>
      <w:rFonts w:eastAsia="黑体"/>
      <w:b/>
      <w:bCs/>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5C4BF-6F49-4DDC-AA7C-261B80FA14D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3064</Words>
  <Characters>17470</Characters>
  <Lines>145</Lines>
  <Paragraphs>40</Paragraphs>
  <TotalTime>4</TotalTime>
  <ScaleCrop>false</ScaleCrop>
  <LinksUpToDate>false</LinksUpToDate>
  <CharactersWithSpaces>20494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2020-11-26T05:58:00Z</dcterms:created>
  <dc:creator>gt2017020601</dc:creator>
  <cp:lastModifiedBy>清凉居士</cp:lastModifiedBy>
  <cp:lastPrinted>2021-08-24T08:15:00Z</cp:lastPrinted>
  <dcterms:modified xsi:type="dcterms:W3CDTF">2021-09-14T02:44:01Z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0D79DA58C3D7438694E5CA02FBB48530</vt:lpwstr>
  </property>
</Properties>
</file>